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B1FB3" w14:textId="77777777" w:rsidR="00461D77" w:rsidRPr="00506878" w:rsidRDefault="00461D77">
      <w:pPr>
        <w:pStyle w:val="WPNormal"/>
        <w:jc w:val="center"/>
        <w:rPr>
          <w:rFonts w:ascii="Times" w:hAnsi="Times" w:hint="cs"/>
          <w:bCs/>
          <w:rtl/>
          <w:lang w:bidi="he-IL"/>
        </w:rPr>
      </w:pPr>
      <w:bookmarkStart w:id="0" w:name="_GoBack"/>
      <w:bookmarkEnd w:id="0"/>
    </w:p>
    <w:p w14:paraId="283C103D" w14:textId="77777777" w:rsidR="00637C13" w:rsidRPr="00506878" w:rsidRDefault="00637C13">
      <w:pPr>
        <w:pStyle w:val="WPNormal"/>
        <w:jc w:val="center"/>
        <w:rPr>
          <w:rFonts w:ascii="Times" w:hAnsi="Times"/>
          <w:bCs/>
        </w:rPr>
      </w:pPr>
    </w:p>
    <w:p w14:paraId="2347B174" w14:textId="469C49E5" w:rsidR="00461D77" w:rsidRPr="00B54C9C" w:rsidRDefault="00975EED">
      <w:pPr>
        <w:pStyle w:val="WPNormal"/>
        <w:jc w:val="center"/>
        <w:rPr>
          <w:rFonts w:ascii="Times" w:hAnsi="Times"/>
          <w:b/>
          <w:sz w:val="36"/>
          <w:szCs w:val="28"/>
          <w:u w:val="single"/>
        </w:rPr>
      </w:pPr>
      <w:r w:rsidRPr="00B54C9C">
        <w:rPr>
          <w:rFonts w:ascii="Times" w:hAnsi="Times"/>
          <w:b/>
          <w:sz w:val="36"/>
          <w:szCs w:val="28"/>
          <w:u w:val="single"/>
        </w:rPr>
        <w:t>Clinical Studies and Regulation - 138009</w:t>
      </w:r>
    </w:p>
    <w:p w14:paraId="106F78F3" w14:textId="167293F0" w:rsidR="00461D77" w:rsidRPr="00B54C9C" w:rsidRDefault="00975EED">
      <w:pPr>
        <w:pStyle w:val="WPNormal"/>
        <w:spacing w:before="240"/>
        <w:jc w:val="center"/>
        <w:rPr>
          <w:rFonts w:ascii="Times" w:hAnsi="Times"/>
          <w:bCs/>
        </w:rPr>
      </w:pPr>
      <w:r w:rsidRPr="00B54C9C">
        <w:rPr>
          <w:rFonts w:ascii="Times" w:hAnsi="Times"/>
          <w:bCs/>
          <w:lang w:bidi="he-IL"/>
        </w:rPr>
        <w:t xml:space="preserve">Mini-Semester 7 / 2021-2022 </w:t>
      </w:r>
    </w:p>
    <w:p w14:paraId="1F7FB289" w14:textId="77777777" w:rsidR="00461D77" w:rsidRPr="00B54C9C" w:rsidRDefault="00461D77">
      <w:pPr>
        <w:pStyle w:val="WPNormal"/>
        <w:jc w:val="center"/>
        <w:rPr>
          <w:rFonts w:ascii="Times" w:hAnsi="Times"/>
          <w:bCs/>
        </w:rPr>
      </w:pPr>
      <w:r w:rsidRPr="00B54C9C">
        <w:rPr>
          <w:rFonts w:ascii="Times" w:hAnsi="Times"/>
          <w:bCs/>
          <w:highlight w:val="yellow"/>
        </w:rPr>
        <w:t>[Class location]</w:t>
      </w:r>
    </w:p>
    <w:p w14:paraId="00F0E45A" w14:textId="0C4E27F7" w:rsidR="00461D77" w:rsidRPr="00B54C9C" w:rsidRDefault="00975EED">
      <w:pPr>
        <w:pStyle w:val="WPNormal"/>
        <w:jc w:val="center"/>
        <w:rPr>
          <w:rFonts w:ascii="Times" w:hAnsi="Times"/>
          <w:bCs/>
        </w:rPr>
      </w:pPr>
      <w:r w:rsidRPr="00B54C9C">
        <w:rPr>
          <w:rFonts w:ascii="Times" w:hAnsi="Times"/>
          <w:bCs/>
        </w:rPr>
        <w:t>Thursday</w:t>
      </w:r>
      <w:r w:rsidR="00E000EF" w:rsidRPr="00B54C9C">
        <w:rPr>
          <w:rFonts w:ascii="Times" w:hAnsi="Times"/>
          <w:bCs/>
        </w:rPr>
        <w:t xml:space="preserve">s </w:t>
      </w:r>
      <w:r w:rsidR="00E000EF" w:rsidRPr="00B54C9C">
        <w:rPr>
          <w:rFonts w:ascii="Times" w:hAnsi="Times" w:cs="Times"/>
          <w:bCs/>
        </w:rPr>
        <w:t>⁕</w:t>
      </w:r>
      <w:r w:rsidR="00E000EF" w:rsidRPr="00B54C9C">
        <w:rPr>
          <w:rFonts w:ascii="Times" w:hAnsi="Times"/>
          <w:bCs/>
        </w:rPr>
        <w:t xml:space="preserve"> 23.12.2021 -10.2.2022 </w:t>
      </w:r>
      <w:r w:rsidR="00E000EF" w:rsidRPr="00B54C9C">
        <w:rPr>
          <w:rFonts w:ascii="Times" w:hAnsi="Times" w:cs="Times"/>
          <w:bCs/>
        </w:rPr>
        <w:t>⁕</w:t>
      </w:r>
      <w:r w:rsidR="00B54C9C">
        <w:rPr>
          <w:rFonts w:ascii="Times" w:hAnsi="Times"/>
          <w:bCs/>
        </w:rPr>
        <w:t xml:space="preserve"> </w:t>
      </w:r>
      <w:r w:rsidRPr="00B54C9C">
        <w:rPr>
          <w:rFonts w:ascii="Times" w:hAnsi="Times"/>
          <w:bCs/>
        </w:rPr>
        <w:t>14:00 – 18:00</w:t>
      </w:r>
    </w:p>
    <w:p w14:paraId="3474F51D" w14:textId="77777777" w:rsidR="00461D77" w:rsidRPr="00506878" w:rsidRDefault="00461D77">
      <w:pPr>
        <w:pStyle w:val="WPNormal"/>
        <w:rPr>
          <w:rFonts w:ascii="Times" w:hAnsi="Times"/>
          <w:bC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104"/>
      </w:tblGrid>
      <w:tr w:rsidR="00602332" w14:paraId="5477DBF4" w14:textId="77777777" w:rsidTr="00E000EF">
        <w:tc>
          <w:tcPr>
            <w:tcW w:w="2335" w:type="dxa"/>
            <w:vMerge w:val="restart"/>
          </w:tcPr>
          <w:p w14:paraId="15D73382" w14:textId="2CB12A01" w:rsidR="00602332" w:rsidRDefault="00602332" w:rsidP="00E000EF">
            <w:pPr>
              <w:pStyle w:val="WPNormal"/>
              <w:tabs>
                <w:tab w:val="right" w:pos="4459"/>
              </w:tabs>
              <w:rPr>
                <w:rFonts w:ascii="Times" w:hAnsi="Times"/>
                <w:bCs/>
              </w:rPr>
            </w:pPr>
            <w:r>
              <w:rPr>
                <w:rFonts w:ascii="Times" w:hAnsi="Times"/>
                <w:bCs/>
              </w:rPr>
              <w:t>Teaching Staff</w:t>
            </w:r>
            <w:r w:rsidR="00E000EF">
              <w:rPr>
                <w:rFonts w:ascii="Times" w:hAnsi="Times"/>
                <w:bCs/>
              </w:rPr>
              <w:tab/>
            </w:r>
          </w:p>
        </w:tc>
        <w:tc>
          <w:tcPr>
            <w:tcW w:w="7015" w:type="dxa"/>
          </w:tcPr>
          <w:p w14:paraId="747AEE1D" w14:textId="77777777" w:rsidR="00602332" w:rsidRDefault="00602332">
            <w:pPr>
              <w:pStyle w:val="WPNormal"/>
              <w:rPr>
                <w:rFonts w:ascii="Times" w:hAnsi="Times"/>
                <w:bCs/>
              </w:rPr>
            </w:pPr>
            <w:r>
              <w:rPr>
                <w:rFonts w:ascii="Times" w:hAnsi="Times"/>
                <w:bCs/>
              </w:rPr>
              <w:t xml:space="preserve">Lecturer 1 - </w:t>
            </w:r>
            <w:r w:rsidRPr="00602332">
              <w:rPr>
                <w:rFonts w:ascii="Times" w:hAnsi="Times"/>
                <w:bCs/>
              </w:rPr>
              <w:t>Mr. Shlomi Harpaz</w:t>
            </w:r>
          </w:p>
          <w:p w14:paraId="1DE1CCF6" w14:textId="77777777" w:rsidR="00602332" w:rsidRDefault="00602332">
            <w:pPr>
              <w:pStyle w:val="WPNormal"/>
              <w:rPr>
                <w:rFonts w:ascii="Times" w:hAnsi="Times"/>
                <w:bCs/>
              </w:rPr>
            </w:pPr>
            <w:r w:rsidRPr="00602332">
              <w:rPr>
                <w:rFonts w:ascii="Times" w:hAnsi="Times"/>
                <w:bCs/>
              </w:rPr>
              <w:t xml:space="preserve">e-mail: </w:t>
            </w:r>
            <w:hyperlink r:id="rId11" w:history="1">
              <w:r w:rsidRPr="00F5175D">
                <w:rPr>
                  <w:rStyle w:val="Hyperlink"/>
                  <w:rFonts w:ascii="Times" w:hAnsi="Times"/>
                  <w:bCs/>
                </w:rPr>
                <w:t>harpazshlomi@technion.ac.il</w:t>
              </w:r>
            </w:hyperlink>
            <w:r>
              <w:rPr>
                <w:rFonts w:ascii="Times" w:hAnsi="Times"/>
                <w:bCs/>
              </w:rPr>
              <w:t xml:space="preserve"> </w:t>
            </w:r>
          </w:p>
          <w:p w14:paraId="4D2FB4D8" w14:textId="45C225C3" w:rsidR="00602332" w:rsidRDefault="00602332">
            <w:pPr>
              <w:pStyle w:val="WPNormal"/>
              <w:rPr>
                <w:rFonts w:ascii="Times" w:hAnsi="Times"/>
                <w:bCs/>
              </w:rPr>
            </w:pPr>
            <w:r>
              <w:rPr>
                <w:rFonts w:ascii="Times" w:hAnsi="Times"/>
                <w:bCs/>
              </w:rPr>
              <w:t>P</w:t>
            </w:r>
            <w:r w:rsidRPr="00602332">
              <w:rPr>
                <w:rFonts w:ascii="Times" w:hAnsi="Times"/>
                <w:bCs/>
              </w:rPr>
              <w:t>hone:</w:t>
            </w:r>
            <w:r>
              <w:rPr>
                <w:rFonts w:ascii="Times" w:hAnsi="Times"/>
                <w:bCs/>
              </w:rPr>
              <w:t xml:space="preserve"> 0548006694</w:t>
            </w:r>
          </w:p>
          <w:p w14:paraId="7BDFD193" w14:textId="6BEFB189" w:rsidR="00602332" w:rsidRDefault="00602332">
            <w:pPr>
              <w:pStyle w:val="WPNormal"/>
              <w:rPr>
                <w:rFonts w:ascii="Times" w:hAnsi="Times"/>
                <w:bCs/>
              </w:rPr>
            </w:pPr>
            <w:r>
              <w:rPr>
                <w:rFonts w:ascii="Times" w:hAnsi="Times"/>
                <w:bCs/>
              </w:rPr>
              <w:t xml:space="preserve">Office hours: </w:t>
            </w:r>
            <w:r w:rsidR="00E000EF">
              <w:rPr>
                <w:rFonts w:ascii="Times" w:hAnsi="Times"/>
                <w:bCs/>
              </w:rPr>
              <w:t xml:space="preserve">Thursday after class </w:t>
            </w:r>
            <w:r w:rsidR="00720D7A">
              <w:rPr>
                <w:rFonts w:ascii="Times" w:hAnsi="Times"/>
                <w:bCs/>
              </w:rPr>
              <w:t>/</w:t>
            </w:r>
            <w:r w:rsidR="00E000EF">
              <w:rPr>
                <w:rFonts w:ascii="Times" w:hAnsi="Times"/>
                <w:bCs/>
              </w:rPr>
              <w:t xml:space="preserve"> </w:t>
            </w:r>
            <w:r w:rsidR="00774912">
              <w:rPr>
                <w:rFonts w:ascii="Times" w:hAnsi="Times"/>
                <w:bCs/>
              </w:rPr>
              <w:t xml:space="preserve">by appointment </w:t>
            </w:r>
          </w:p>
        </w:tc>
      </w:tr>
      <w:tr w:rsidR="00602332" w14:paraId="32D8DBB3" w14:textId="77777777" w:rsidTr="00E000EF">
        <w:tc>
          <w:tcPr>
            <w:tcW w:w="2335" w:type="dxa"/>
            <w:vMerge/>
          </w:tcPr>
          <w:p w14:paraId="153DFAAE" w14:textId="77777777" w:rsidR="00602332" w:rsidRDefault="00602332">
            <w:pPr>
              <w:pStyle w:val="WPNormal"/>
              <w:rPr>
                <w:rFonts w:ascii="Times" w:hAnsi="Times"/>
                <w:bCs/>
              </w:rPr>
            </w:pPr>
          </w:p>
        </w:tc>
        <w:tc>
          <w:tcPr>
            <w:tcW w:w="7015" w:type="dxa"/>
          </w:tcPr>
          <w:p w14:paraId="01E2AE3F" w14:textId="77777777" w:rsidR="00C37068" w:rsidRDefault="00C37068">
            <w:pPr>
              <w:pStyle w:val="WPNormal"/>
              <w:rPr>
                <w:rFonts w:ascii="Times" w:hAnsi="Times"/>
                <w:bCs/>
              </w:rPr>
            </w:pPr>
          </w:p>
          <w:p w14:paraId="06885153" w14:textId="52D5AC2C" w:rsidR="00602332" w:rsidRDefault="00602332" w:rsidP="008C1FE3">
            <w:pPr>
              <w:pStyle w:val="WPNormal"/>
              <w:rPr>
                <w:rFonts w:ascii="Times" w:hAnsi="Times"/>
                <w:bCs/>
              </w:rPr>
            </w:pPr>
            <w:r>
              <w:rPr>
                <w:rFonts w:ascii="Times" w:hAnsi="Times"/>
                <w:bCs/>
              </w:rPr>
              <w:t xml:space="preserve">Lecturer 2 – </w:t>
            </w:r>
            <w:r w:rsidR="008C1FE3">
              <w:rPr>
                <w:rFonts w:ascii="Times" w:hAnsi="Times"/>
                <w:bCs/>
              </w:rPr>
              <w:t>Dr</w:t>
            </w:r>
            <w:r>
              <w:rPr>
                <w:rFonts w:ascii="Times" w:hAnsi="Times"/>
                <w:bCs/>
              </w:rPr>
              <w:t>. Aric Orbach</w:t>
            </w:r>
          </w:p>
          <w:p w14:paraId="15085EAF" w14:textId="5DFE8E16" w:rsidR="00602332" w:rsidRDefault="00602332">
            <w:pPr>
              <w:pStyle w:val="WPNormal"/>
              <w:rPr>
                <w:rFonts w:ascii="Times" w:hAnsi="Times"/>
                <w:bCs/>
              </w:rPr>
            </w:pPr>
            <w:r>
              <w:rPr>
                <w:rFonts w:ascii="Times" w:hAnsi="Times"/>
                <w:bCs/>
              </w:rPr>
              <w:t xml:space="preserve">e-mail: </w:t>
            </w:r>
            <w:hyperlink r:id="rId12" w:history="1">
              <w:r w:rsidR="00720D7A" w:rsidRPr="0038155E">
                <w:rPr>
                  <w:rStyle w:val="Hyperlink"/>
                  <w:rFonts w:ascii="Times" w:hAnsi="Times"/>
                  <w:bCs/>
                </w:rPr>
                <w:t>aricorbach@gmail.com</w:t>
              </w:r>
            </w:hyperlink>
            <w:r w:rsidR="00720D7A">
              <w:rPr>
                <w:rFonts w:ascii="Times" w:hAnsi="Times"/>
                <w:bCs/>
              </w:rPr>
              <w:t xml:space="preserve"> </w:t>
            </w:r>
          </w:p>
          <w:p w14:paraId="56074629" w14:textId="1A9AFB60" w:rsidR="00602332" w:rsidRDefault="00602332">
            <w:pPr>
              <w:pStyle w:val="WPNormal"/>
              <w:rPr>
                <w:rFonts w:ascii="Times" w:hAnsi="Times"/>
                <w:bCs/>
              </w:rPr>
            </w:pPr>
            <w:r>
              <w:rPr>
                <w:rFonts w:ascii="Times" w:hAnsi="Times"/>
                <w:bCs/>
              </w:rPr>
              <w:t xml:space="preserve">Phone: </w:t>
            </w:r>
            <w:r w:rsidR="008C1FE3">
              <w:rPr>
                <w:rFonts w:ascii="Times" w:hAnsi="Times"/>
                <w:bCs/>
              </w:rPr>
              <w:t>0548886304</w:t>
            </w:r>
          </w:p>
          <w:p w14:paraId="05C6B34A" w14:textId="5BEB5C4F" w:rsidR="00602332" w:rsidRDefault="00602332" w:rsidP="008C1FE3">
            <w:pPr>
              <w:pStyle w:val="WPNormal"/>
              <w:rPr>
                <w:rFonts w:ascii="Times" w:hAnsi="Times"/>
                <w:bCs/>
              </w:rPr>
            </w:pPr>
            <w:r>
              <w:rPr>
                <w:rFonts w:ascii="Times" w:hAnsi="Times"/>
                <w:bCs/>
              </w:rPr>
              <w:t>Office hours:</w:t>
            </w:r>
            <w:r w:rsidR="008C1FE3">
              <w:rPr>
                <w:rFonts w:ascii="Times" w:hAnsi="Times"/>
                <w:bCs/>
              </w:rPr>
              <w:t xml:space="preserve"> Thursday after class / by appointment</w:t>
            </w:r>
          </w:p>
        </w:tc>
      </w:tr>
    </w:tbl>
    <w:p w14:paraId="73A50CB1" w14:textId="77777777" w:rsidR="00EA779A" w:rsidRPr="00506878" w:rsidRDefault="00EA779A" w:rsidP="00A17B0C">
      <w:pPr>
        <w:pStyle w:val="WPNormal"/>
        <w:rPr>
          <w:rFonts w:ascii="Times" w:hAnsi="Times"/>
          <w:bCs/>
        </w:rPr>
      </w:pPr>
    </w:p>
    <w:p w14:paraId="1DE4CA61" w14:textId="2C7AD348" w:rsidR="00637C13" w:rsidRPr="00B54C9C" w:rsidRDefault="00637C13" w:rsidP="00A17B0C">
      <w:pPr>
        <w:pStyle w:val="WPNormal"/>
        <w:rPr>
          <w:rFonts w:ascii="Times" w:hAnsi="Times"/>
          <w:bCs/>
        </w:rPr>
      </w:pPr>
      <w:r w:rsidRPr="00506878">
        <w:rPr>
          <w:rFonts w:ascii="Times" w:hAnsi="Times"/>
          <w:bCs/>
        </w:rPr>
        <w:t xml:space="preserve">Credits: </w:t>
      </w:r>
      <w:r w:rsidR="00602332" w:rsidRPr="00B54C9C">
        <w:rPr>
          <w:rFonts w:ascii="Times" w:hAnsi="Times"/>
          <w:bCs/>
        </w:rPr>
        <w:t>2.0</w:t>
      </w:r>
    </w:p>
    <w:p w14:paraId="6D34AA40" w14:textId="77777777" w:rsidR="00637C13" w:rsidRPr="00506878" w:rsidRDefault="00637C13" w:rsidP="00637C13">
      <w:pPr>
        <w:pStyle w:val="WPNormal"/>
        <w:rPr>
          <w:rFonts w:ascii="Times" w:hAnsi="Times"/>
          <w:bCs/>
        </w:rPr>
      </w:pPr>
    </w:p>
    <w:p w14:paraId="1874503D" w14:textId="0BC93E4F" w:rsidR="003C36B3" w:rsidRPr="00B54C9C" w:rsidRDefault="00572957" w:rsidP="00F13848">
      <w:pPr>
        <w:pStyle w:val="WPNormal"/>
        <w:rPr>
          <w:rFonts w:ascii="Times" w:hAnsi="Times"/>
          <w:bCs/>
        </w:rPr>
      </w:pPr>
      <w:r w:rsidRPr="00506878">
        <w:rPr>
          <w:rFonts w:ascii="Times" w:hAnsi="Times"/>
          <w:bCs/>
          <w:szCs w:val="24"/>
          <w:lang w:bidi="he-IL"/>
        </w:rPr>
        <w:t>Study hours per week</w:t>
      </w:r>
      <w:r w:rsidR="00587021" w:rsidRPr="00506878">
        <w:rPr>
          <w:rFonts w:ascii="Times" w:hAnsi="Times"/>
          <w:bCs/>
          <w:szCs w:val="24"/>
          <w:lang w:bidi="he-IL"/>
        </w:rPr>
        <w:t xml:space="preserve">: </w:t>
      </w:r>
      <w:r w:rsidR="00602332" w:rsidRPr="00B54C9C">
        <w:rPr>
          <w:rFonts w:ascii="Times" w:hAnsi="Times"/>
          <w:bCs/>
        </w:rPr>
        <w:t xml:space="preserve">Lecture – </w:t>
      </w:r>
      <w:r w:rsidR="0085690E">
        <w:rPr>
          <w:rFonts w:ascii="Times" w:hAnsi="Times"/>
          <w:bCs/>
        </w:rPr>
        <w:t>14:00- 18:00</w:t>
      </w:r>
    </w:p>
    <w:p w14:paraId="4136F8B8" w14:textId="77777777" w:rsidR="00F14AB9" w:rsidRDefault="00F14AB9" w:rsidP="00755DED">
      <w:pPr>
        <w:pStyle w:val="WPNormal"/>
        <w:rPr>
          <w:rFonts w:ascii="Times" w:hAnsi="Times"/>
          <w:bCs/>
          <w:color w:val="808080" w:themeColor="background1" w:themeShade="80"/>
        </w:rPr>
      </w:pPr>
    </w:p>
    <w:p w14:paraId="6A7CAFC5" w14:textId="126D0720" w:rsidR="00587021" w:rsidRDefault="00587021" w:rsidP="00634A75">
      <w:pPr>
        <w:pStyle w:val="WPNormal"/>
        <w:rPr>
          <w:rFonts w:ascii="Times" w:hAnsi="Times"/>
          <w:bCs/>
          <w:lang w:bidi="he-IL"/>
        </w:rPr>
      </w:pPr>
    </w:p>
    <w:p w14:paraId="7BB71749" w14:textId="77777777" w:rsidR="0085690E" w:rsidRPr="00506878" w:rsidRDefault="0085690E" w:rsidP="00634A75">
      <w:pPr>
        <w:pStyle w:val="WPNormal"/>
        <w:rPr>
          <w:rFonts w:ascii="Times" w:hAnsi="Times"/>
          <w:bCs/>
          <w:rtl/>
          <w:lang w:bidi="he-IL"/>
        </w:rPr>
      </w:pPr>
    </w:p>
    <w:p w14:paraId="4C701B78" w14:textId="77777777" w:rsidR="000342B4" w:rsidRPr="00C820C2" w:rsidRDefault="00461D77" w:rsidP="00634A75">
      <w:pPr>
        <w:pStyle w:val="WPNormal"/>
        <w:rPr>
          <w:rFonts w:ascii="Times" w:hAnsi="Times"/>
          <w:b/>
        </w:rPr>
      </w:pPr>
      <w:r w:rsidRPr="00C820C2">
        <w:rPr>
          <w:rFonts w:ascii="Times" w:hAnsi="Times"/>
          <w:b/>
        </w:rPr>
        <w:t xml:space="preserve">Course </w:t>
      </w:r>
      <w:r w:rsidR="00C3497C" w:rsidRPr="00C820C2">
        <w:rPr>
          <w:rFonts w:ascii="Times" w:hAnsi="Times"/>
          <w:b/>
        </w:rPr>
        <w:t>Goals</w:t>
      </w:r>
      <w:r w:rsidR="001816AE" w:rsidRPr="00C820C2">
        <w:rPr>
          <w:rFonts w:ascii="Times" w:hAnsi="Times"/>
          <w:b/>
        </w:rPr>
        <w:t xml:space="preserve"> </w:t>
      </w:r>
      <w:r w:rsidRPr="00C820C2">
        <w:rPr>
          <w:rFonts w:ascii="Times" w:hAnsi="Times"/>
          <w:b/>
        </w:rPr>
        <w:t xml:space="preserve">and </w:t>
      </w:r>
      <w:r w:rsidR="00637C13" w:rsidRPr="00C820C2">
        <w:rPr>
          <w:rFonts w:ascii="Times" w:hAnsi="Times"/>
          <w:b/>
        </w:rPr>
        <w:t>Description</w:t>
      </w:r>
    </w:p>
    <w:p w14:paraId="03DA960D" w14:textId="77777777" w:rsidR="00F14AB9" w:rsidRDefault="00461D77" w:rsidP="00634A75">
      <w:pPr>
        <w:pStyle w:val="WPNormal"/>
        <w:ind w:left="360"/>
        <w:rPr>
          <w:rFonts w:ascii="Times" w:hAnsi="Times"/>
          <w:b/>
        </w:rPr>
      </w:pPr>
      <w:r w:rsidRPr="00C820C2">
        <w:rPr>
          <w:rFonts w:ascii="Times" w:hAnsi="Times"/>
          <w:b/>
        </w:rPr>
        <w:t xml:space="preserve"> </w:t>
      </w:r>
    </w:p>
    <w:p w14:paraId="73BB20D3" w14:textId="6EC6CFD0" w:rsidR="00634A75" w:rsidRDefault="000D2F97" w:rsidP="00B54C9C">
      <w:pPr>
        <w:pStyle w:val="WPNormal"/>
        <w:rPr>
          <w:rFonts w:ascii="Times" w:hAnsi="Times"/>
          <w:bCs/>
        </w:rPr>
      </w:pPr>
      <w:r w:rsidRPr="00460870">
        <w:rPr>
          <w:rFonts w:ascii="Times" w:hAnsi="Times"/>
          <w:bCs/>
        </w:rPr>
        <w:t>One of the premier clients for any company that designs and/or manufactures medical products – be it drugs, biologics or medical devices – is the regulator.  To get the product into market requires the company to answer the requirements presented by this demanding, often troublesome, client</w:t>
      </w:r>
      <w:r w:rsidR="00A55D87">
        <w:rPr>
          <w:rFonts w:ascii="Times" w:hAnsi="Times"/>
          <w:bCs/>
        </w:rPr>
        <w:t xml:space="preserve">, </w:t>
      </w:r>
      <w:r w:rsidR="00460870" w:rsidRPr="00460870">
        <w:rPr>
          <w:rFonts w:ascii="Times" w:hAnsi="Times"/>
          <w:bCs/>
        </w:rPr>
        <w:t xml:space="preserve">and </w:t>
      </w:r>
      <w:r w:rsidR="00A55D87">
        <w:rPr>
          <w:rFonts w:ascii="Times" w:hAnsi="Times"/>
          <w:bCs/>
        </w:rPr>
        <w:t>the regulators</w:t>
      </w:r>
      <w:r w:rsidR="00720D7A">
        <w:rPr>
          <w:rFonts w:ascii="Times" w:hAnsi="Times"/>
          <w:bCs/>
        </w:rPr>
        <w:t>'</w:t>
      </w:r>
      <w:r w:rsidR="00A55D87">
        <w:rPr>
          <w:rFonts w:ascii="Times" w:hAnsi="Times"/>
          <w:bCs/>
        </w:rPr>
        <w:t xml:space="preserve"> </w:t>
      </w:r>
      <w:r w:rsidR="00460870" w:rsidRPr="00460870">
        <w:rPr>
          <w:rFonts w:ascii="Times" w:hAnsi="Times"/>
          <w:bCs/>
        </w:rPr>
        <w:t xml:space="preserve">expectations </w:t>
      </w:r>
      <w:r w:rsidR="00A55D87">
        <w:rPr>
          <w:rFonts w:ascii="Times" w:hAnsi="Times"/>
          <w:bCs/>
        </w:rPr>
        <w:t xml:space="preserve">and requirements </w:t>
      </w:r>
      <w:r w:rsidR="00460870" w:rsidRPr="00460870">
        <w:rPr>
          <w:rFonts w:ascii="Times" w:hAnsi="Times"/>
          <w:bCs/>
        </w:rPr>
        <w:t xml:space="preserve">continue to play a major role in shaping company work practices and activities in the post-marketing phase. </w:t>
      </w:r>
    </w:p>
    <w:p w14:paraId="1B876D8A" w14:textId="77777777" w:rsidR="00C66EDE" w:rsidRPr="00460870" w:rsidRDefault="00C66EDE" w:rsidP="00B54C9C">
      <w:pPr>
        <w:pStyle w:val="WPNormal"/>
        <w:rPr>
          <w:rFonts w:ascii="Times" w:hAnsi="Times"/>
          <w:bCs/>
        </w:rPr>
      </w:pPr>
    </w:p>
    <w:p w14:paraId="02E0BAD2" w14:textId="5C1F4536" w:rsidR="00460870" w:rsidRDefault="00460870" w:rsidP="00B54C9C">
      <w:pPr>
        <w:pStyle w:val="WPNormal"/>
        <w:rPr>
          <w:rFonts w:ascii="Times" w:hAnsi="Times"/>
          <w:bCs/>
        </w:rPr>
      </w:pPr>
      <w:r w:rsidRPr="00460870">
        <w:rPr>
          <w:rFonts w:ascii="Times" w:hAnsi="Times"/>
          <w:bCs/>
        </w:rPr>
        <w:t>While answering the regulators</w:t>
      </w:r>
      <w:r w:rsidR="00720D7A">
        <w:rPr>
          <w:rFonts w:ascii="Times" w:hAnsi="Times"/>
          <w:bCs/>
        </w:rPr>
        <w:t>'</w:t>
      </w:r>
      <w:r w:rsidRPr="00460870">
        <w:rPr>
          <w:rFonts w:ascii="Times" w:hAnsi="Times"/>
          <w:bCs/>
        </w:rPr>
        <w:t xml:space="preserve"> requirements is far from ensuring success in itself – the medical products graveyards are full of failed </w:t>
      </w:r>
      <w:r>
        <w:rPr>
          <w:rFonts w:ascii="Times" w:hAnsi="Times"/>
          <w:bCs/>
        </w:rPr>
        <w:t xml:space="preserve">products </w:t>
      </w:r>
      <w:r w:rsidRPr="00460870">
        <w:rPr>
          <w:rFonts w:ascii="Times" w:hAnsi="Times"/>
          <w:bCs/>
        </w:rPr>
        <w:t xml:space="preserve">that received clearance for marketing – failure to answer these requirements could deeply affect company profits and value, and in the case of a startup company, could </w:t>
      </w:r>
      <w:r w:rsidR="00C66EDE">
        <w:rPr>
          <w:rFonts w:ascii="Times" w:hAnsi="Times"/>
          <w:bCs/>
        </w:rPr>
        <w:t xml:space="preserve">easily </w:t>
      </w:r>
      <w:r w:rsidRPr="00460870">
        <w:rPr>
          <w:rFonts w:ascii="Times" w:hAnsi="Times"/>
          <w:bCs/>
        </w:rPr>
        <w:t>doom it to failure.</w:t>
      </w:r>
      <w:r>
        <w:rPr>
          <w:rFonts w:ascii="Times" w:hAnsi="Times"/>
          <w:bCs/>
        </w:rPr>
        <w:t xml:space="preserve"> </w:t>
      </w:r>
    </w:p>
    <w:p w14:paraId="7C758273" w14:textId="51F6433D" w:rsidR="00460870" w:rsidRDefault="00460870" w:rsidP="00634A75">
      <w:pPr>
        <w:pStyle w:val="WPNormal"/>
        <w:ind w:left="360"/>
        <w:rPr>
          <w:rFonts w:ascii="Times" w:hAnsi="Times"/>
          <w:bCs/>
        </w:rPr>
      </w:pPr>
    </w:p>
    <w:p w14:paraId="5FD2F1EE" w14:textId="77777777" w:rsidR="00C66EDE" w:rsidRDefault="00C66EDE" w:rsidP="00B54C9C">
      <w:pPr>
        <w:pStyle w:val="WPNormal"/>
        <w:rPr>
          <w:rFonts w:ascii="Times" w:hAnsi="Times"/>
          <w:bCs/>
        </w:rPr>
      </w:pPr>
    </w:p>
    <w:p w14:paraId="6F7E6BC6" w14:textId="70DEABB8" w:rsidR="00460870" w:rsidRDefault="00460870" w:rsidP="00B54C9C">
      <w:pPr>
        <w:pStyle w:val="WPNormal"/>
        <w:rPr>
          <w:rFonts w:ascii="Times" w:hAnsi="Times"/>
          <w:bCs/>
        </w:rPr>
      </w:pPr>
      <w:r>
        <w:rPr>
          <w:rFonts w:ascii="Times" w:hAnsi="Times"/>
          <w:bCs/>
        </w:rPr>
        <w:t>Like other clients in the medical field, the regulators</w:t>
      </w:r>
      <w:r w:rsidR="00C66EDE">
        <w:rPr>
          <w:rFonts w:ascii="Times" w:hAnsi="Times"/>
          <w:bCs/>
        </w:rPr>
        <w:t>'</w:t>
      </w:r>
      <w:r>
        <w:rPr>
          <w:rFonts w:ascii="Times" w:hAnsi="Times"/>
          <w:bCs/>
        </w:rPr>
        <w:t xml:space="preserve"> willingness to approve a new product for use is founded, first and foremost, on the provision of valid </w:t>
      </w:r>
      <w:r w:rsidR="00AB149F">
        <w:rPr>
          <w:rFonts w:ascii="Times" w:hAnsi="Times"/>
          <w:bCs/>
        </w:rPr>
        <w:t xml:space="preserve">data generated through well-controlled clinical investigations. The planning and conduct of such clinical investigations are therefore one </w:t>
      </w:r>
      <w:r w:rsidR="00C66EDE">
        <w:rPr>
          <w:rFonts w:ascii="Times" w:hAnsi="Times"/>
          <w:bCs/>
        </w:rPr>
        <w:t xml:space="preserve">of </w:t>
      </w:r>
      <w:r w:rsidR="00AB149F">
        <w:rPr>
          <w:rFonts w:ascii="Times" w:hAnsi="Times"/>
          <w:bCs/>
        </w:rPr>
        <w:t xml:space="preserve">the major </w:t>
      </w:r>
      <w:proofErr w:type="gramStart"/>
      <w:r w:rsidR="00AB149F">
        <w:rPr>
          <w:rFonts w:ascii="Times" w:hAnsi="Times"/>
          <w:bCs/>
        </w:rPr>
        <w:t>time</w:t>
      </w:r>
      <w:proofErr w:type="gramEnd"/>
      <w:r w:rsidR="00AB149F">
        <w:rPr>
          <w:rFonts w:ascii="Times" w:hAnsi="Times"/>
          <w:bCs/>
        </w:rPr>
        <w:t xml:space="preserve"> and budget consuming activities for most companies in the medical field – and here, too, the regulators</w:t>
      </w:r>
      <w:r w:rsidR="00C66EDE">
        <w:rPr>
          <w:rFonts w:ascii="Times" w:hAnsi="Times"/>
          <w:bCs/>
        </w:rPr>
        <w:t>'</w:t>
      </w:r>
      <w:r w:rsidR="00AB149F">
        <w:rPr>
          <w:rFonts w:ascii="Times" w:hAnsi="Times"/>
          <w:bCs/>
        </w:rPr>
        <w:t xml:space="preserve"> requirements regarding the design, registration and conduct of such clinical investigations play a major role. </w:t>
      </w:r>
    </w:p>
    <w:p w14:paraId="19F85318" w14:textId="66987750" w:rsidR="00AB149F" w:rsidRDefault="00AB149F" w:rsidP="00634A75">
      <w:pPr>
        <w:pStyle w:val="WPNormal"/>
        <w:ind w:left="360"/>
        <w:rPr>
          <w:rFonts w:ascii="Times" w:hAnsi="Times"/>
          <w:bCs/>
        </w:rPr>
      </w:pPr>
    </w:p>
    <w:p w14:paraId="28643F16" w14:textId="68453410" w:rsidR="000D2F97" w:rsidRDefault="00460870" w:rsidP="00B54C9C">
      <w:pPr>
        <w:pStyle w:val="WPNormal"/>
        <w:rPr>
          <w:rFonts w:ascii="Times" w:hAnsi="Times"/>
          <w:bCs/>
        </w:rPr>
      </w:pPr>
      <w:r w:rsidRPr="00B353C4">
        <w:rPr>
          <w:rFonts w:ascii="Times" w:hAnsi="Times"/>
          <w:bCs/>
        </w:rPr>
        <w:lastRenderedPageBreak/>
        <w:t>The goal of th</w:t>
      </w:r>
      <w:r w:rsidR="00720D7A">
        <w:rPr>
          <w:rFonts w:ascii="Times" w:hAnsi="Times"/>
          <w:bCs/>
        </w:rPr>
        <w:t>e</w:t>
      </w:r>
      <w:r w:rsidRPr="00B353C4">
        <w:rPr>
          <w:rFonts w:ascii="Times" w:hAnsi="Times"/>
          <w:bCs/>
        </w:rPr>
        <w:t xml:space="preserve"> present course is to introduce students to the </w:t>
      </w:r>
      <w:r w:rsidR="00AB149F" w:rsidRPr="00B353C4">
        <w:rPr>
          <w:rFonts w:ascii="Times" w:hAnsi="Times"/>
          <w:bCs/>
        </w:rPr>
        <w:t xml:space="preserve">terminology employed by regulators, to their frame-of-mind and to the basic </w:t>
      </w:r>
      <w:r w:rsidRPr="00B353C4">
        <w:rPr>
          <w:rFonts w:ascii="Times" w:hAnsi="Times"/>
          <w:bCs/>
        </w:rPr>
        <w:t xml:space="preserve">requirements presented by </w:t>
      </w:r>
      <w:r w:rsidR="00AB149F" w:rsidRPr="00B353C4">
        <w:rPr>
          <w:rFonts w:ascii="Times" w:hAnsi="Times"/>
          <w:bCs/>
        </w:rPr>
        <w:t>them w</w:t>
      </w:r>
      <w:r w:rsidRPr="00B353C4">
        <w:rPr>
          <w:rFonts w:ascii="Times" w:hAnsi="Times"/>
          <w:bCs/>
        </w:rPr>
        <w:t xml:space="preserve">ith regards to the </w:t>
      </w:r>
      <w:r w:rsidR="00AB149F" w:rsidRPr="00B353C4">
        <w:rPr>
          <w:rFonts w:ascii="Times" w:hAnsi="Times"/>
          <w:bCs/>
        </w:rPr>
        <w:t xml:space="preserve">design, </w:t>
      </w:r>
      <w:r w:rsidRPr="00B353C4">
        <w:rPr>
          <w:rFonts w:ascii="Times" w:hAnsi="Times"/>
          <w:bCs/>
        </w:rPr>
        <w:t>approval</w:t>
      </w:r>
      <w:r w:rsidR="00AB149F" w:rsidRPr="00B353C4">
        <w:rPr>
          <w:rFonts w:ascii="Times" w:hAnsi="Times"/>
          <w:bCs/>
        </w:rPr>
        <w:t>, clinical testing and manufacturing of medical products. In addition, the present course is intended to allow students to understand how to plan a clinical study that will support future regulatory submission processes. While only serving as a basic introduction to this</w:t>
      </w:r>
      <w:r w:rsidR="00C66EDE">
        <w:rPr>
          <w:rFonts w:ascii="Times" w:hAnsi="Times"/>
          <w:bCs/>
        </w:rPr>
        <w:t xml:space="preserve"> vast</w:t>
      </w:r>
      <w:r w:rsidR="00AB149F" w:rsidRPr="00B353C4">
        <w:rPr>
          <w:rFonts w:ascii="Times" w:hAnsi="Times"/>
          <w:bCs/>
        </w:rPr>
        <w:t xml:space="preserve"> field, the knowledge to be acquired </w:t>
      </w:r>
      <w:r w:rsidR="00C66EDE">
        <w:rPr>
          <w:rFonts w:ascii="Times" w:hAnsi="Times"/>
          <w:bCs/>
        </w:rPr>
        <w:t xml:space="preserve">through </w:t>
      </w:r>
      <w:r w:rsidR="00AB149F" w:rsidRPr="00B353C4">
        <w:rPr>
          <w:rFonts w:ascii="Times" w:hAnsi="Times"/>
          <w:bCs/>
        </w:rPr>
        <w:t xml:space="preserve">this course is of fundamental importance to anyone aspiring to fill managerial </w:t>
      </w:r>
      <w:r w:rsidR="00C66EDE">
        <w:rPr>
          <w:rFonts w:ascii="Times" w:hAnsi="Times"/>
          <w:bCs/>
        </w:rPr>
        <w:t>roles</w:t>
      </w:r>
      <w:r w:rsidR="00AB149F" w:rsidRPr="00B353C4">
        <w:rPr>
          <w:rFonts w:ascii="Times" w:hAnsi="Times"/>
          <w:bCs/>
        </w:rPr>
        <w:t xml:space="preserve"> in </w:t>
      </w:r>
      <w:r w:rsidR="00C66EDE">
        <w:rPr>
          <w:rFonts w:ascii="Times" w:hAnsi="Times"/>
          <w:bCs/>
        </w:rPr>
        <w:t>t</w:t>
      </w:r>
      <w:r w:rsidR="00AB149F" w:rsidRPr="00B353C4">
        <w:rPr>
          <w:rFonts w:ascii="Times" w:hAnsi="Times"/>
          <w:bCs/>
        </w:rPr>
        <w:t xml:space="preserve">he </w:t>
      </w:r>
      <w:r w:rsidR="000D2F97" w:rsidRPr="00B353C4">
        <w:rPr>
          <w:rFonts w:ascii="Times" w:hAnsi="Times"/>
          <w:bCs/>
        </w:rPr>
        <w:t>medical products industries.</w:t>
      </w:r>
    </w:p>
    <w:p w14:paraId="1DFA281F" w14:textId="77777777" w:rsidR="000D2F97" w:rsidRPr="000D2F97" w:rsidRDefault="000D2F97" w:rsidP="00634A75">
      <w:pPr>
        <w:pStyle w:val="WPNormal"/>
        <w:ind w:left="360"/>
        <w:rPr>
          <w:rFonts w:ascii="Times" w:hAnsi="Times"/>
          <w:bCs/>
        </w:rPr>
      </w:pPr>
    </w:p>
    <w:p w14:paraId="7C2A02E9" w14:textId="20E1C3A8" w:rsidR="0014634C" w:rsidRDefault="0014634C" w:rsidP="00634A75">
      <w:pPr>
        <w:pStyle w:val="WPNormal"/>
        <w:ind w:left="360"/>
        <w:rPr>
          <w:rFonts w:ascii="Times" w:hAnsi="Times"/>
          <w:b/>
        </w:rPr>
      </w:pPr>
    </w:p>
    <w:p w14:paraId="101BB7F6" w14:textId="77777777" w:rsidR="0085690E" w:rsidRDefault="0085690E" w:rsidP="00634A75">
      <w:pPr>
        <w:pStyle w:val="WPNormal"/>
        <w:ind w:left="360"/>
        <w:rPr>
          <w:rFonts w:ascii="Times" w:hAnsi="Times"/>
          <w:b/>
        </w:rPr>
      </w:pPr>
    </w:p>
    <w:p w14:paraId="1390CF92" w14:textId="77777777" w:rsidR="00461D77" w:rsidRPr="00B353C4" w:rsidRDefault="00461D77" w:rsidP="00634A75">
      <w:pPr>
        <w:pStyle w:val="WPNormal"/>
        <w:rPr>
          <w:rFonts w:ascii="Times" w:hAnsi="Times"/>
          <w:b/>
        </w:rPr>
      </w:pPr>
      <w:r w:rsidRPr="00B353C4">
        <w:rPr>
          <w:rFonts w:ascii="Times" w:hAnsi="Times"/>
          <w:b/>
        </w:rPr>
        <w:t>Learning O</w:t>
      </w:r>
      <w:r w:rsidR="009B7991" w:rsidRPr="00B353C4">
        <w:rPr>
          <w:rFonts w:ascii="Times" w:hAnsi="Times"/>
          <w:b/>
        </w:rPr>
        <w:t>utcomes</w:t>
      </w:r>
      <w:r w:rsidR="00920D9D" w:rsidRPr="00B353C4">
        <w:rPr>
          <w:rFonts w:ascii="Times" w:hAnsi="Times"/>
          <w:b/>
        </w:rPr>
        <w:t xml:space="preserve"> </w:t>
      </w:r>
    </w:p>
    <w:p w14:paraId="3577C378" w14:textId="31B21488" w:rsidR="006B4201" w:rsidRPr="00B353C4" w:rsidRDefault="00A007DA" w:rsidP="00B54C9C">
      <w:pPr>
        <w:pStyle w:val="WPNormal"/>
        <w:rPr>
          <w:rFonts w:ascii="Times" w:hAnsi="Times"/>
          <w:bCs/>
        </w:rPr>
      </w:pPr>
      <w:r w:rsidRPr="00B353C4">
        <w:rPr>
          <w:rFonts w:ascii="Times" w:hAnsi="Times"/>
          <w:bCs/>
        </w:rPr>
        <w:t>At the end of the course, the student will</w:t>
      </w:r>
      <w:r w:rsidR="00B353C4" w:rsidRPr="00B353C4">
        <w:rPr>
          <w:rFonts w:ascii="Times" w:hAnsi="Times"/>
          <w:bCs/>
        </w:rPr>
        <w:t xml:space="preserve"> be familiar with</w:t>
      </w:r>
      <w:r w:rsidRPr="00B353C4">
        <w:rPr>
          <w:rFonts w:ascii="Times" w:hAnsi="Times"/>
          <w:bCs/>
        </w:rPr>
        <w:t>:</w:t>
      </w:r>
    </w:p>
    <w:p w14:paraId="36631375" w14:textId="41B033FC" w:rsidR="00D560ED" w:rsidRDefault="00D560ED" w:rsidP="00A007DA">
      <w:pPr>
        <w:pStyle w:val="WPNormal"/>
        <w:numPr>
          <w:ilvl w:val="0"/>
          <w:numId w:val="21"/>
        </w:numPr>
        <w:rPr>
          <w:rFonts w:ascii="Times" w:hAnsi="Times"/>
          <w:bCs/>
        </w:rPr>
      </w:pPr>
      <w:r>
        <w:rPr>
          <w:rFonts w:ascii="Times" w:hAnsi="Times"/>
          <w:bCs/>
        </w:rPr>
        <w:t xml:space="preserve">The drug &amp; device development process and </w:t>
      </w:r>
      <w:r w:rsidR="00720D7A">
        <w:rPr>
          <w:rFonts w:ascii="Times" w:hAnsi="Times"/>
          <w:bCs/>
        </w:rPr>
        <w:t>interrelations with</w:t>
      </w:r>
      <w:r>
        <w:rPr>
          <w:rFonts w:ascii="Times" w:hAnsi="Times"/>
          <w:bCs/>
        </w:rPr>
        <w:t xml:space="preserve"> regulatory pathways for approval</w:t>
      </w:r>
      <w:r w:rsidR="00720D7A">
        <w:rPr>
          <w:rFonts w:ascii="Times" w:hAnsi="Times"/>
          <w:bCs/>
        </w:rPr>
        <w:t>.</w:t>
      </w:r>
      <w:r>
        <w:rPr>
          <w:rFonts w:ascii="Times" w:hAnsi="Times"/>
          <w:bCs/>
        </w:rPr>
        <w:t xml:space="preserve"> </w:t>
      </w:r>
    </w:p>
    <w:p w14:paraId="627C805C" w14:textId="1EA18B20" w:rsidR="00A007DA" w:rsidRPr="00B353C4" w:rsidRDefault="00B353C4" w:rsidP="00A007DA">
      <w:pPr>
        <w:pStyle w:val="WPNormal"/>
        <w:numPr>
          <w:ilvl w:val="0"/>
          <w:numId w:val="21"/>
        </w:numPr>
        <w:rPr>
          <w:rFonts w:ascii="Times" w:hAnsi="Times"/>
          <w:bCs/>
        </w:rPr>
      </w:pPr>
      <w:r w:rsidRPr="00B353C4">
        <w:rPr>
          <w:rFonts w:ascii="Times" w:hAnsi="Times"/>
          <w:bCs/>
        </w:rPr>
        <w:t>H</w:t>
      </w:r>
      <w:r w:rsidR="00A007DA" w:rsidRPr="00B353C4">
        <w:rPr>
          <w:rFonts w:ascii="Times" w:hAnsi="Times"/>
          <w:bCs/>
        </w:rPr>
        <w:t xml:space="preserve">ow to analyze whether a given </w:t>
      </w:r>
      <w:r>
        <w:rPr>
          <w:rFonts w:ascii="Times" w:hAnsi="Times"/>
          <w:bCs/>
        </w:rPr>
        <w:t xml:space="preserve">medical </w:t>
      </w:r>
      <w:r w:rsidR="00A007DA" w:rsidRPr="00B353C4">
        <w:rPr>
          <w:rFonts w:ascii="Times" w:hAnsi="Times"/>
          <w:bCs/>
        </w:rPr>
        <w:t xml:space="preserve">product is </w:t>
      </w:r>
      <w:r>
        <w:rPr>
          <w:rFonts w:ascii="Times" w:hAnsi="Times"/>
          <w:bCs/>
        </w:rPr>
        <w:t xml:space="preserve">regulated as </w:t>
      </w:r>
      <w:r w:rsidR="00A007DA" w:rsidRPr="00B353C4">
        <w:rPr>
          <w:rFonts w:ascii="Times" w:hAnsi="Times"/>
          <w:bCs/>
        </w:rPr>
        <w:t>a drug, biologic</w:t>
      </w:r>
      <w:r w:rsidR="00C66EDE">
        <w:rPr>
          <w:rFonts w:ascii="Times" w:hAnsi="Times"/>
          <w:bCs/>
        </w:rPr>
        <w:t>al</w:t>
      </w:r>
      <w:r w:rsidR="00A007DA" w:rsidRPr="00B353C4">
        <w:rPr>
          <w:rFonts w:ascii="Times" w:hAnsi="Times"/>
          <w:bCs/>
        </w:rPr>
        <w:t xml:space="preserve"> product, medical device</w:t>
      </w:r>
      <w:r w:rsidR="000D2F97" w:rsidRPr="00B353C4">
        <w:rPr>
          <w:rFonts w:ascii="Times" w:hAnsi="Times"/>
          <w:bCs/>
        </w:rPr>
        <w:t>,</w:t>
      </w:r>
      <w:r w:rsidRPr="00B353C4">
        <w:rPr>
          <w:rFonts w:ascii="Times" w:hAnsi="Times"/>
          <w:bCs/>
        </w:rPr>
        <w:t xml:space="preserve"> </w:t>
      </w:r>
      <w:r w:rsidR="00A007DA" w:rsidRPr="00B353C4">
        <w:rPr>
          <w:rFonts w:ascii="Times" w:hAnsi="Times"/>
          <w:bCs/>
        </w:rPr>
        <w:t>combination product</w:t>
      </w:r>
      <w:r>
        <w:rPr>
          <w:rFonts w:ascii="Times" w:hAnsi="Times"/>
          <w:bCs/>
        </w:rPr>
        <w:t xml:space="preserve"> – or does not constitute any of the above</w:t>
      </w:r>
      <w:r w:rsidR="00A007DA" w:rsidRPr="00B353C4">
        <w:rPr>
          <w:rFonts w:ascii="Times" w:hAnsi="Times"/>
          <w:bCs/>
        </w:rPr>
        <w:t xml:space="preserve">. </w:t>
      </w:r>
    </w:p>
    <w:p w14:paraId="341E8DA1" w14:textId="3BB7389C" w:rsidR="00B353C4" w:rsidRPr="00B353C4" w:rsidRDefault="00B353C4" w:rsidP="00A007DA">
      <w:pPr>
        <w:pStyle w:val="WPNormal"/>
        <w:numPr>
          <w:ilvl w:val="0"/>
          <w:numId w:val="21"/>
        </w:numPr>
        <w:rPr>
          <w:rFonts w:ascii="Times" w:hAnsi="Times"/>
          <w:bCs/>
        </w:rPr>
      </w:pPr>
      <w:r w:rsidRPr="00B353C4">
        <w:rPr>
          <w:rFonts w:ascii="Times" w:hAnsi="Times"/>
          <w:bCs/>
        </w:rPr>
        <w:t>The available routes for drug, biological product, medical device and combination product approval, including expected timetables, activities, and major challenges</w:t>
      </w:r>
      <w:r w:rsidR="00C66EDE">
        <w:rPr>
          <w:rFonts w:ascii="Times" w:hAnsi="Times"/>
          <w:bCs/>
        </w:rPr>
        <w:t xml:space="preserve">. </w:t>
      </w:r>
    </w:p>
    <w:p w14:paraId="6755C823" w14:textId="1FDC1509" w:rsidR="00B353C4" w:rsidRPr="00B353C4" w:rsidRDefault="00B353C4" w:rsidP="00A007DA">
      <w:pPr>
        <w:pStyle w:val="WPNormal"/>
        <w:numPr>
          <w:ilvl w:val="0"/>
          <w:numId w:val="21"/>
        </w:numPr>
        <w:rPr>
          <w:rFonts w:ascii="Times" w:hAnsi="Times"/>
          <w:bCs/>
        </w:rPr>
      </w:pPr>
      <w:r w:rsidRPr="00B353C4">
        <w:rPr>
          <w:rFonts w:ascii="Times" w:hAnsi="Times"/>
          <w:bCs/>
        </w:rPr>
        <w:t>The change in frame-of-mind when moving from R&amp;D-focused activities to the GMP/QMS phase in a startup’s lifecycle.</w:t>
      </w:r>
    </w:p>
    <w:p w14:paraId="591FB264" w14:textId="5A6B456D" w:rsidR="00B353C4" w:rsidRPr="00B353C4" w:rsidRDefault="00B353C4" w:rsidP="00A007DA">
      <w:pPr>
        <w:pStyle w:val="WPNormal"/>
        <w:numPr>
          <w:ilvl w:val="0"/>
          <w:numId w:val="21"/>
        </w:numPr>
        <w:rPr>
          <w:rFonts w:ascii="Times" w:hAnsi="Times"/>
          <w:bCs/>
        </w:rPr>
      </w:pPr>
      <w:r w:rsidRPr="00B353C4">
        <w:rPr>
          <w:rFonts w:ascii="Times" w:hAnsi="Times"/>
          <w:bCs/>
        </w:rPr>
        <w:t>What constitutes well-documented and controlled design and manufacturing processes.</w:t>
      </w:r>
    </w:p>
    <w:p w14:paraId="60533C3D" w14:textId="4C300651" w:rsidR="00B353C4" w:rsidRDefault="00B353C4" w:rsidP="00A007DA">
      <w:pPr>
        <w:pStyle w:val="WPNormal"/>
        <w:numPr>
          <w:ilvl w:val="0"/>
          <w:numId w:val="21"/>
        </w:numPr>
        <w:rPr>
          <w:rFonts w:ascii="Times" w:hAnsi="Times"/>
          <w:bCs/>
        </w:rPr>
      </w:pPr>
      <w:r>
        <w:rPr>
          <w:rFonts w:ascii="Times" w:hAnsi="Times"/>
          <w:bCs/>
        </w:rPr>
        <w:t>T</w:t>
      </w:r>
      <w:r w:rsidRPr="00B353C4">
        <w:rPr>
          <w:rFonts w:ascii="Times" w:hAnsi="Times"/>
          <w:bCs/>
        </w:rPr>
        <w:t>he major categories of pre-clinical testing that apply to each type of medical product.</w:t>
      </w:r>
    </w:p>
    <w:p w14:paraId="696F3C32" w14:textId="7F038ED6" w:rsidR="00B353C4" w:rsidRDefault="00B353C4" w:rsidP="00A007DA">
      <w:pPr>
        <w:pStyle w:val="WPNormal"/>
        <w:numPr>
          <w:ilvl w:val="0"/>
          <w:numId w:val="21"/>
        </w:numPr>
        <w:rPr>
          <w:rFonts w:ascii="Times" w:hAnsi="Times"/>
          <w:bCs/>
        </w:rPr>
      </w:pPr>
      <w:r>
        <w:rPr>
          <w:rFonts w:ascii="Times" w:hAnsi="Times"/>
          <w:bCs/>
        </w:rPr>
        <w:t>How to</w:t>
      </w:r>
      <w:r w:rsidRPr="00B353C4">
        <w:rPr>
          <w:rFonts w:ascii="Times" w:hAnsi="Times"/>
          <w:bCs/>
        </w:rPr>
        <w:t xml:space="preserve"> </w:t>
      </w:r>
      <w:r>
        <w:rPr>
          <w:rFonts w:ascii="Times" w:hAnsi="Times"/>
          <w:bCs/>
        </w:rPr>
        <w:t>submit</w:t>
      </w:r>
      <w:r w:rsidRPr="00B353C4">
        <w:rPr>
          <w:rFonts w:ascii="Times" w:hAnsi="Times"/>
          <w:bCs/>
        </w:rPr>
        <w:t xml:space="preserve"> a clinical </w:t>
      </w:r>
      <w:r>
        <w:rPr>
          <w:rFonts w:ascii="Times" w:hAnsi="Times"/>
          <w:bCs/>
        </w:rPr>
        <w:t xml:space="preserve">investigation in Israel </w:t>
      </w:r>
      <w:r w:rsidRPr="00B353C4">
        <w:rPr>
          <w:rFonts w:ascii="Times" w:hAnsi="Times"/>
          <w:bCs/>
        </w:rPr>
        <w:t>and what</w:t>
      </w:r>
      <w:r w:rsidR="006713F7">
        <w:rPr>
          <w:rFonts w:ascii="Times" w:hAnsi="Times"/>
          <w:bCs/>
        </w:rPr>
        <w:t xml:space="preserve"> are the interactions between clinical investigation design and the regulators</w:t>
      </w:r>
      <w:r w:rsidR="00C66EDE">
        <w:rPr>
          <w:rFonts w:ascii="Times" w:hAnsi="Times"/>
          <w:bCs/>
        </w:rPr>
        <w:t>'</w:t>
      </w:r>
      <w:r w:rsidR="006713F7">
        <w:rPr>
          <w:rFonts w:ascii="Times" w:hAnsi="Times"/>
          <w:bCs/>
        </w:rPr>
        <w:t xml:space="preserve"> requirements</w:t>
      </w:r>
      <w:r>
        <w:rPr>
          <w:rFonts w:ascii="Times" w:hAnsi="Times"/>
          <w:bCs/>
        </w:rPr>
        <w:t>.</w:t>
      </w:r>
    </w:p>
    <w:p w14:paraId="01806978" w14:textId="636DE5F1" w:rsidR="00B353C4" w:rsidRPr="00B353C4" w:rsidRDefault="00C66EDE" w:rsidP="00A007DA">
      <w:pPr>
        <w:pStyle w:val="WPNormal"/>
        <w:numPr>
          <w:ilvl w:val="0"/>
          <w:numId w:val="21"/>
        </w:numPr>
        <w:rPr>
          <w:rFonts w:ascii="Times" w:hAnsi="Times"/>
          <w:bCs/>
        </w:rPr>
      </w:pPr>
      <w:r>
        <w:rPr>
          <w:rFonts w:ascii="Times" w:hAnsi="Times"/>
          <w:bCs/>
        </w:rPr>
        <w:t>T</w:t>
      </w:r>
      <w:r w:rsidR="00B353C4" w:rsidRPr="00B353C4">
        <w:rPr>
          <w:rFonts w:ascii="Times" w:hAnsi="Times"/>
          <w:bCs/>
        </w:rPr>
        <w:t xml:space="preserve">he basic regulatory requirements that apply </w:t>
      </w:r>
      <w:r>
        <w:rPr>
          <w:rFonts w:ascii="Times" w:hAnsi="Times"/>
          <w:bCs/>
        </w:rPr>
        <w:t xml:space="preserve">to medical products </w:t>
      </w:r>
      <w:r w:rsidR="00B353C4" w:rsidRPr="00B353C4">
        <w:rPr>
          <w:rFonts w:ascii="Times" w:hAnsi="Times"/>
          <w:bCs/>
        </w:rPr>
        <w:t>in the post-marketing phase</w:t>
      </w:r>
      <w:r w:rsidR="00B353C4">
        <w:rPr>
          <w:rFonts w:ascii="Times" w:hAnsi="Times"/>
          <w:bCs/>
        </w:rPr>
        <w:t>.</w:t>
      </w:r>
    </w:p>
    <w:p w14:paraId="4E92AB9C" w14:textId="77777777" w:rsidR="00634A75" w:rsidRPr="00B353C4" w:rsidRDefault="00634A75" w:rsidP="00634A75">
      <w:pPr>
        <w:pStyle w:val="WPNormal"/>
        <w:ind w:left="360"/>
        <w:rPr>
          <w:rFonts w:ascii="Times" w:hAnsi="Times"/>
          <w:bCs/>
          <w:highlight w:val="yellow"/>
        </w:rPr>
      </w:pPr>
    </w:p>
    <w:p w14:paraId="6BCE516B" w14:textId="77777777" w:rsidR="00A909C2" w:rsidRPr="00B353C4" w:rsidRDefault="00A909C2" w:rsidP="00634A75">
      <w:pPr>
        <w:pStyle w:val="Default"/>
        <w:rPr>
          <w:highlight w:val="yellow"/>
        </w:rPr>
      </w:pPr>
    </w:p>
    <w:p w14:paraId="327F028C" w14:textId="77777777" w:rsidR="0085690E" w:rsidRDefault="0085690E" w:rsidP="00634A75">
      <w:pPr>
        <w:pStyle w:val="WPNormal"/>
        <w:rPr>
          <w:rFonts w:ascii="Times" w:hAnsi="Times"/>
          <w:b/>
        </w:rPr>
      </w:pPr>
    </w:p>
    <w:p w14:paraId="6144FB6B" w14:textId="77777777" w:rsidR="0085690E" w:rsidRDefault="0085690E" w:rsidP="00634A75">
      <w:pPr>
        <w:pStyle w:val="WPNormal"/>
        <w:rPr>
          <w:rFonts w:ascii="Times" w:hAnsi="Times"/>
          <w:b/>
        </w:rPr>
      </w:pPr>
    </w:p>
    <w:p w14:paraId="509E99CC" w14:textId="77777777" w:rsidR="0085690E" w:rsidRDefault="0085690E" w:rsidP="00634A75">
      <w:pPr>
        <w:pStyle w:val="WPNormal"/>
        <w:rPr>
          <w:rFonts w:ascii="Times" w:hAnsi="Times"/>
          <w:b/>
        </w:rPr>
      </w:pPr>
    </w:p>
    <w:p w14:paraId="75826563" w14:textId="77777777" w:rsidR="0085690E" w:rsidRDefault="0085690E" w:rsidP="00634A75">
      <w:pPr>
        <w:pStyle w:val="WPNormal"/>
        <w:rPr>
          <w:rFonts w:ascii="Times" w:hAnsi="Times"/>
          <w:b/>
        </w:rPr>
      </w:pPr>
    </w:p>
    <w:p w14:paraId="77EF197D" w14:textId="77777777" w:rsidR="0085690E" w:rsidRDefault="0085690E" w:rsidP="00634A75">
      <w:pPr>
        <w:pStyle w:val="WPNormal"/>
        <w:rPr>
          <w:rFonts w:ascii="Times" w:hAnsi="Times"/>
          <w:b/>
        </w:rPr>
      </w:pPr>
    </w:p>
    <w:p w14:paraId="7F35EFE4" w14:textId="77777777" w:rsidR="0085690E" w:rsidRDefault="0085690E" w:rsidP="00634A75">
      <w:pPr>
        <w:pStyle w:val="WPNormal"/>
        <w:rPr>
          <w:rFonts w:ascii="Times" w:hAnsi="Times"/>
          <w:b/>
        </w:rPr>
      </w:pPr>
    </w:p>
    <w:p w14:paraId="7CB50960" w14:textId="77777777" w:rsidR="0085690E" w:rsidRDefault="0085690E" w:rsidP="00634A75">
      <w:pPr>
        <w:pStyle w:val="WPNormal"/>
        <w:rPr>
          <w:rFonts w:ascii="Times" w:hAnsi="Times"/>
          <w:b/>
        </w:rPr>
      </w:pPr>
    </w:p>
    <w:p w14:paraId="4C6705A2" w14:textId="77777777" w:rsidR="0085690E" w:rsidRDefault="0085690E" w:rsidP="00634A75">
      <w:pPr>
        <w:pStyle w:val="WPNormal"/>
        <w:rPr>
          <w:rFonts w:ascii="Times" w:hAnsi="Times"/>
          <w:b/>
        </w:rPr>
      </w:pPr>
    </w:p>
    <w:p w14:paraId="3FA7941B" w14:textId="77777777" w:rsidR="0085690E" w:rsidRDefault="0085690E" w:rsidP="00634A75">
      <w:pPr>
        <w:pStyle w:val="WPNormal"/>
        <w:rPr>
          <w:rFonts w:ascii="Times" w:hAnsi="Times"/>
          <w:b/>
        </w:rPr>
      </w:pPr>
    </w:p>
    <w:p w14:paraId="0E919456" w14:textId="77777777" w:rsidR="0085690E" w:rsidRDefault="0085690E" w:rsidP="00634A75">
      <w:pPr>
        <w:pStyle w:val="WPNormal"/>
        <w:rPr>
          <w:rFonts w:ascii="Times" w:hAnsi="Times"/>
          <w:b/>
        </w:rPr>
      </w:pPr>
    </w:p>
    <w:p w14:paraId="186E1DD1" w14:textId="77777777" w:rsidR="0085690E" w:rsidRDefault="0085690E" w:rsidP="00634A75">
      <w:pPr>
        <w:pStyle w:val="WPNormal"/>
        <w:rPr>
          <w:rFonts w:ascii="Times" w:hAnsi="Times"/>
          <w:b/>
        </w:rPr>
      </w:pPr>
    </w:p>
    <w:p w14:paraId="226AAEED" w14:textId="77777777" w:rsidR="0085690E" w:rsidRDefault="0085690E" w:rsidP="00634A75">
      <w:pPr>
        <w:pStyle w:val="WPNormal"/>
        <w:rPr>
          <w:rFonts w:ascii="Times" w:hAnsi="Times"/>
          <w:b/>
        </w:rPr>
      </w:pPr>
    </w:p>
    <w:p w14:paraId="42FFF8EA" w14:textId="77777777" w:rsidR="0085690E" w:rsidRDefault="0085690E" w:rsidP="00634A75">
      <w:pPr>
        <w:pStyle w:val="WPNormal"/>
        <w:rPr>
          <w:rFonts w:ascii="Times" w:hAnsi="Times"/>
          <w:b/>
        </w:rPr>
      </w:pPr>
    </w:p>
    <w:p w14:paraId="328EB118" w14:textId="77777777" w:rsidR="0085690E" w:rsidRDefault="0085690E" w:rsidP="00634A75">
      <w:pPr>
        <w:pStyle w:val="WPNormal"/>
        <w:rPr>
          <w:rFonts w:ascii="Times" w:hAnsi="Times"/>
          <w:b/>
        </w:rPr>
      </w:pPr>
    </w:p>
    <w:p w14:paraId="7B199E7B" w14:textId="77777777" w:rsidR="0085690E" w:rsidRDefault="0085690E" w:rsidP="00634A75">
      <w:pPr>
        <w:pStyle w:val="WPNormal"/>
        <w:rPr>
          <w:rFonts w:ascii="Times" w:hAnsi="Times"/>
          <w:b/>
        </w:rPr>
      </w:pPr>
    </w:p>
    <w:p w14:paraId="74610F93" w14:textId="272CC1F5" w:rsidR="00461D77" w:rsidRDefault="00C12AA1" w:rsidP="00634A75">
      <w:pPr>
        <w:pStyle w:val="WPNormal"/>
        <w:rPr>
          <w:rFonts w:ascii="Times" w:hAnsi="Times"/>
          <w:b/>
        </w:rPr>
      </w:pPr>
      <w:r w:rsidRPr="00C820C2">
        <w:rPr>
          <w:rFonts w:ascii="Times" w:hAnsi="Times"/>
          <w:b/>
        </w:rPr>
        <w:t xml:space="preserve">Course </w:t>
      </w:r>
      <w:r w:rsidR="00FA7897" w:rsidRPr="00C820C2">
        <w:rPr>
          <w:rFonts w:ascii="Times" w:hAnsi="Times"/>
          <w:b/>
        </w:rPr>
        <w:t>C</w:t>
      </w:r>
      <w:r w:rsidR="00613034" w:rsidRPr="00C820C2">
        <w:rPr>
          <w:rFonts w:ascii="Times" w:hAnsi="Times"/>
          <w:b/>
        </w:rPr>
        <w:t>ontent/</w:t>
      </w:r>
      <w:r w:rsidR="00FA7897" w:rsidRPr="00C820C2">
        <w:rPr>
          <w:rFonts w:ascii="Times" w:hAnsi="Times"/>
          <w:b/>
        </w:rPr>
        <w:t>T</w:t>
      </w:r>
      <w:r w:rsidRPr="00C820C2">
        <w:rPr>
          <w:rFonts w:ascii="Times" w:hAnsi="Times"/>
          <w:b/>
        </w:rPr>
        <w:t>opics</w:t>
      </w:r>
    </w:p>
    <w:p w14:paraId="7E241AF1" w14:textId="77777777" w:rsidR="00C66EDE" w:rsidRDefault="00C66EDE" w:rsidP="00634A75">
      <w:pPr>
        <w:pStyle w:val="WPNormal"/>
        <w:rPr>
          <w:rFonts w:ascii="Times" w:hAnsi="Times"/>
          <w:b/>
        </w:rPr>
      </w:pPr>
    </w:p>
    <w:tbl>
      <w:tblPr>
        <w:tblStyle w:val="a7"/>
        <w:tblW w:w="5000" w:type="pct"/>
        <w:tblLook w:val="04A0" w:firstRow="1" w:lastRow="0" w:firstColumn="1" w:lastColumn="0" w:noHBand="0" w:noVBand="1"/>
      </w:tblPr>
      <w:tblGrid>
        <w:gridCol w:w="1016"/>
        <w:gridCol w:w="1138"/>
        <w:gridCol w:w="1170"/>
        <w:gridCol w:w="2250"/>
        <w:gridCol w:w="3776"/>
      </w:tblGrid>
      <w:tr w:rsidR="00C37068" w:rsidRPr="00BA25BF" w14:paraId="662518F5" w14:textId="77777777" w:rsidTr="00C66EDE">
        <w:trPr>
          <w:tblHeader/>
        </w:trPr>
        <w:tc>
          <w:tcPr>
            <w:tcW w:w="543" w:type="pct"/>
            <w:shd w:val="clear" w:color="auto" w:fill="EEECE1" w:themeFill="background2"/>
          </w:tcPr>
          <w:p w14:paraId="76345A7F" w14:textId="77777777" w:rsidR="00602332" w:rsidRPr="00BA25BF" w:rsidRDefault="00602332" w:rsidP="00E7565C">
            <w:pPr>
              <w:jc w:val="center"/>
              <w:rPr>
                <w:b/>
                <w:bCs/>
              </w:rPr>
            </w:pPr>
            <w:r w:rsidRPr="00BA25BF">
              <w:rPr>
                <w:b/>
                <w:bCs/>
              </w:rPr>
              <w:t>Lecture #</w:t>
            </w:r>
          </w:p>
        </w:tc>
        <w:tc>
          <w:tcPr>
            <w:tcW w:w="609" w:type="pct"/>
            <w:shd w:val="clear" w:color="auto" w:fill="EEECE1" w:themeFill="background2"/>
          </w:tcPr>
          <w:p w14:paraId="382F268D" w14:textId="306A456B" w:rsidR="00602332" w:rsidRPr="00BA25BF" w:rsidRDefault="00602332" w:rsidP="00E7565C">
            <w:pPr>
              <w:jc w:val="center"/>
              <w:rPr>
                <w:b/>
                <w:bCs/>
              </w:rPr>
            </w:pPr>
            <w:r>
              <w:rPr>
                <w:b/>
                <w:bCs/>
              </w:rPr>
              <w:t>Date</w:t>
            </w:r>
          </w:p>
        </w:tc>
        <w:tc>
          <w:tcPr>
            <w:tcW w:w="626" w:type="pct"/>
            <w:shd w:val="clear" w:color="auto" w:fill="EEECE1" w:themeFill="background2"/>
          </w:tcPr>
          <w:p w14:paraId="6579EEB6" w14:textId="7F899178" w:rsidR="00602332" w:rsidRPr="00BA25BF" w:rsidRDefault="00602332" w:rsidP="00E7565C">
            <w:pPr>
              <w:jc w:val="center"/>
              <w:rPr>
                <w:b/>
                <w:bCs/>
              </w:rPr>
            </w:pPr>
            <w:r>
              <w:rPr>
                <w:b/>
                <w:bCs/>
              </w:rPr>
              <w:t>Lecturer</w:t>
            </w:r>
          </w:p>
        </w:tc>
        <w:tc>
          <w:tcPr>
            <w:tcW w:w="1203" w:type="pct"/>
            <w:shd w:val="clear" w:color="auto" w:fill="EEECE1" w:themeFill="background2"/>
          </w:tcPr>
          <w:p w14:paraId="5180BB16" w14:textId="2FD3A551" w:rsidR="00602332" w:rsidRPr="00BA25BF" w:rsidRDefault="00602332" w:rsidP="00E7565C">
            <w:pPr>
              <w:jc w:val="center"/>
              <w:rPr>
                <w:b/>
                <w:bCs/>
              </w:rPr>
            </w:pPr>
            <w:r w:rsidRPr="00BA25BF">
              <w:rPr>
                <w:b/>
                <w:bCs/>
              </w:rPr>
              <w:t>Subject</w:t>
            </w:r>
          </w:p>
        </w:tc>
        <w:tc>
          <w:tcPr>
            <w:tcW w:w="2019" w:type="pct"/>
            <w:shd w:val="clear" w:color="auto" w:fill="EEECE1" w:themeFill="background2"/>
          </w:tcPr>
          <w:p w14:paraId="52962C0F" w14:textId="77777777" w:rsidR="00602332" w:rsidRPr="00BA25BF" w:rsidRDefault="00602332" w:rsidP="00E7565C">
            <w:pPr>
              <w:jc w:val="center"/>
              <w:rPr>
                <w:b/>
                <w:bCs/>
              </w:rPr>
            </w:pPr>
            <w:r w:rsidRPr="00BA25BF">
              <w:rPr>
                <w:b/>
                <w:bCs/>
              </w:rPr>
              <w:t>Topics Covered</w:t>
            </w:r>
          </w:p>
        </w:tc>
      </w:tr>
      <w:tr w:rsidR="00C37068" w14:paraId="067324DD" w14:textId="77777777" w:rsidTr="00C66EDE">
        <w:tc>
          <w:tcPr>
            <w:tcW w:w="543" w:type="pct"/>
          </w:tcPr>
          <w:p w14:paraId="383B6338" w14:textId="77777777" w:rsidR="00602332" w:rsidRPr="00BA25BF" w:rsidRDefault="00602332" w:rsidP="00E7565C">
            <w:pPr>
              <w:jc w:val="center"/>
              <w:rPr>
                <w:b/>
                <w:bCs/>
              </w:rPr>
            </w:pPr>
            <w:r w:rsidRPr="00BA25BF">
              <w:rPr>
                <w:b/>
                <w:bCs/>
              </w:rPr>
              <w:t>1</w:t>
            </w:r>
          </w:p>
        </w:tc>
        <w:tc>
          <w:tcPr>
            <w:tcW w:w="609" w:type="pct"/>
          </w:tcPr>
          <w:p w14:paraId="48D5EFCF" w14:textId="49ED603C" w:rsidR="00602332" w:rsidRDefault="00C37068" w:rsidP="00E7565C">
            <w:pPr>
              <w:jc w:val="center"/>
            </w:pPr>
            <w:r>
              <w:t>23.12.21</w:t>
            </w:r>
          </w:p>
        </w:tc>
        <w:tc>
          <w:tcPr>
            <w:tcW w:w="626" w:type="pct"/>
          </w:tcPr>
          <w:p w14:paraId="35DB4F9C" w14:textId="0FA23E53" w:rsidR="00602332" w:rsidRDefault="00C37068" w:rsidP="00E7565C">
            <w:pPr>
              <w:jc w:val="center"/>
            </w:pPr>
            <w:r>
              <w:t>Shlomi Harpaz</w:t>
            </w:r>
          </w:p>
        </w:tc>
        <w:tc>
          <w:tcPr>
            <w:tcW w:w="1203" w:type="pct"/>
          </w:tcPr>
          <w:p w14:paraId="595A2A9E" w14:textId="5C608C99" w:rsidR="00602332" w:rsidRDefault="00602332" w:rsidP="00E7565C">
            <w:pPr>
              <w:jc w:val="center"/>
            </w:pPr>
            <w:r>
              <w:t xml:space="preserve">General Introduction to the Regulation of Medical Products </w:t>
            </w:r>
          </w:p>
        </w:tc>
        <w:tc>
          <w:tcPr>
            <w:tcW w:w="2019" w:type="pct"/>
          </w:tcPr>
          <w:p w14:paraId="7321CFFA" w14:textId="77777777" w:rsidR="00602332" w:rsidRDefault="00602332" w:rsidP="00C37068">
            <w:pPr>
              <w:pStyle w:val="aa"/>
              <w:numPr>
                <w:ilvl w:val="0"/>
                <w:numId w:val="13"/>
              </w:numPr>
              <w:jc w:val="center"/>
            </w:pPr>
            <w:r>
              <w:t>Brief historical review.</w:t>
            </w:r>
          </w:p>
          <w:p w14:paraId="170BC87A" w14:textId="6F58AFC2" w:rsidR="00C37068" w:rsidRDefault="00602332" w:rsidP="00C37068">
            <w:pPr>
              <w:pStyle w:val="aa"/>
              <w:numPr>
                <w:ilvl w:val="0"/>
                <w:numId w:val="13"/>
              </w:numPr>
              <w:jc w:val="center"/>
            </w:pPr>
            <w:r>
              <w:t>Introduction to division between drug, biologic</w:t>
            </w:r>
            <w:r w:rsidR="00C66EDE">
              <w:t>al</w:t>
            </w:r>
            <w:r>
              <w:t xml:space="preserve"> product and </w:t>
            </w:r>
            <w:r w:rsidR="00C66EDE">
              <w:t xml:space="preserve">medical </w:t>
            </w:r>
            <w:r>
              <w:t>device</w:t>
            </w:r>
            <w:r w:rsidR="00C37068">
              <w:t>.</w:t>
            </w:r>
          </w:p>
          <w:p w14:paraId="50F40817" w14:textId="77777777" w:rsidR="00C37068" w:rsidRDefault="00C37068" w:rsidP="00C37068">
            <w:pPr>
              <w:pStyle w:val="aa"/>
              <w:numPr>
                <w:ilvl w:val="0"/>
                <w:numId w:val="13"/>
              </w:numPr>
              <w:jc w:val="center"/>
            </w:pPr>
            <w:r>
              <w:t>C</w:t>
            </w:r>
            <w:r w:rsidR="00602332">
              <w:t>ombination products</w:t>
            </w:r>
            <w:r>
              <w:t>.</w:t>
            </w:r>
          </w:p>
          <w:p w14:paraId="65C54C84" w14:textId="77777777" w:rsidR="00C37068" w:rsidRDefault="00C37068" w:rsidP="00B041C0">
            <w:pPr>
              <w:pStyle w:val="aa"/>
              <w:numPr>
                <w:ilvl w:val="0"/>
                <w:numId w:val="13"/>
              </w:numPr>
              <w:jc w:val="center"/>
            </w:pPr>
            <w:r>
              <w:t>B</w:t>
            </w:r>
            <w:r w:rsidR="00602332">
              <w:t>orderlines with less heavily regulated options (e.g., cosmetics, food, LDTs, wellness products).</w:t>
            </w:r>
          </w:p>
          <w:p w14:paraId="4DD26E23" w14:textId="2D9F852A" w:rsidR="00C37068" w:rsidRDefault="00602332" w:rsidP="00BB12BD">
            <w:pPr>
              <w:pStyle w:val="aa"/>
              <w:numPr>
                <w:ilvl w:val="0"/>
                <w:numId w:val="13"/>
              </w:numPr>
              <w:jc w:val="center"/>
            </w:pPr>
            <w:r>
              <w:t>General criteria applied by regulators in the review of medical products.</w:t>
            </w:r>
          </w:p>
          <w:p w14:paraId="00B52669" w14:textId="77777777" w:rsidR="00C37068" w:rsidRDefault="00602332" w:rsidP="00912131">
            <w:pPr>
              <w:pStyle w:val="aa"/>
              <w:numPr>
                <w:ilvl w:val="0"/>
                <w:numId w:val="13"/>
              </w:numPr>
              <w:jc w:val="center"/>
            </w:pPr>
            <w:r>
              <w:t xml:space="preserve">Compassionate use options. </w:t>
            </w:r>
          </w:p>
          <w:p w14:paraId="6F566A5E" w14:textId="77777777" w:rsidR="00C37068" w:rsidRDefault="00602332" w:rsidP="00DC2E83">
            <w:pPr>
              <w:pStyle w:val="aa"/>
              <w:numPr>
                <w:ilvl w:val="0"/>
                <w:numId w:val="13"/>
              </w:numPr>
              <w:jc w:val="center"/>
            </w:pPr>
            <w:r>
              <w:t>Benefit-risk approach.</w:t>
            </w:r>
          </w:p>
          <w:p w14:paraId="2E404EE7" w14:textId="77777777" w:rsidR="00C37068" w:rsidRDefault="00602332" w:rsidP="00C37068">
            <w:pPr>
              <w:pStyle w:val="aa"/>
              <w:numPr>
                <w:ilvl w:val="0"/>
                <w:numId w:val="13"/>
              </w:numPr>
              <w:jc w:val="center"/>
            </w:pPr>
            <w:r>
              <w:t>Labelling and off-label use.</w:t>
            </w:r>
          </w:p>
          <w:p w14:paraId="4EEA1D4E" w14:textId="44849B22" w:rsidR="00602332" w:rsidRDefault="00602332" w:rsidP="00C37068">
            <w:pPr>
              <w:pStyle w:val="aa"/>
              <w:numPr>
                <w:ilvl w:val="0"/>
                <w:numId w:val="13"/>
              </w:numPr>
              <w:jc w:val="center"/>
            </w:pPr>
            <w:r>
              <w:t>Available options for preliminary discussions with regulatory agencies.</w:t>
            </w:r>
          </w:p>
        </w:tc>
      </w:tr>
      <w:tr w:rsidR="00C37068" w14:paraId="01649C86" w14:textId="77777777" w:rsidTr="00720D7A">
        <w:trPr>
          <w:trHeight w:val="3176"/>
        </w:trPr>
        <w:tc>
          <w:tcPr>
            <w:tcW w:w="543" w:type="pct"/>
          </w:tcPr>
          <w:p w14:paraId="0A59D881" w14:textId="77777777" w:rsidR="00602332" w:rsidRPr="00BA25BF" w:rsidRDefault="00602332" w:rsidP="00E7565C">
            <w:pPr>
              <w:jc w:val="center"/>
              <w:rPr>
                <w:b/>
                <w:bCs/>
              </w:rPr>
            </w:pPr>
            <w:r w:rsidRPr="00BA25BF">
              <w:rPr>
                <w:b/>
                <w:bCs/>
              </w:rPr>
              <w:t>2</w:t>
            </w:r>
          </w:p>
        </w:tc>
        <w:tc>
          <w:tcPr>
            <w:tcW w:w="609" w:type="pct"/>
          </w:tcPr>
          <w:p w14:paraId="722A5CC8" w14:textId="5D08EB6E" w:rsidR="00602332" w:rsidRDefault="00C37068" w:rsidP="00E7565C">
            <w:pPr>
              <w:jc w:val="center"/>
            </w:pPr>
            <w:r>
              <w:t>30.12.21</w:t>
            </w:r>
          </w:p>
        </w:tc>
        <w:tc>
          <w:tcPr>
            <w:tcW w:w="626" w:type="pct"/>
          </w:tcPr>
          <w:p w14:paraId="7A023C6D" w14:textId="3997C08D" w:rsidR="00602332" w:rsidRDefault="00C37068" w:rsidP="00E7565C">
            <w:pPr>
              <w:jc w:val="center"/>
            </w:pPr>
            <w:r>
              <w:t>Aric Orbach</w:t>
            </w:r>
          </w:p>
        </w:tc>
        <w:tc>
          <w:tcPr>
            <w:tcW w:w="1203" w:type="pct"/>
          </w:tcPr>
          <w:p w14:paraId="33D37267" w14:textId="1FA52B45" w:rsidR="00602332" w:rsidRDefault="00602332" w:rsidP="00E7565C">
            <w:pPr>
              <w:jc w:val="center"/>
            </w:pPr>
            <w:r>
              <w:t xml:space="preserve">Drug and Biologics Approval Processes </w:t>
            </w:r>
          </w:p>
        </w:tc>
        <w:tc>
          <w:tcPr>
            <w:tcW w:w="2019" w:type="pct"/>
          </w:tcPr>
          <w:p w14:paraId="48F57805" w14:textId="1FC732C6" w:rsidR="008C1FE3" w:rsidRDefault="00602332" w:rsidP="008C1FE3">
            <w:pPr>
              <w:pStyle w:val="aa"/>
              <w:numPr>
                <w:ilvl w:val="0"/>
                <w:numId w:val="14"/>
              </w:numPr>
              <w:jc w:val="center"/>
            </w:pPr>
            <w:r>
              <w:t>Overview of drug</w:t>
            </w:r>
            <w:r w:rsidR="008C1FE3">
              <w:t xml:space="preserve"> development process</w:t>
            </w:r>
            <w:r w:rsidR="00720D7A">
              <w:t>.</w:t>
            </w:r>
            <w:r w:rsidR="008C1FE3">
              <w:t xml:space="preserve"> </w:t>
            </w:r>
          </w:p>
          <w:p w14:paraId="16E0260B" w14:textId="37F3A2CF" w:rsidR="008C1FE3" w:rsidRDefault="008C1FE3" w:rsidP="008C1FE3">
            <w:pPr>
              <w:pStyle w:val="aa"/>
              <w:numPr>
                <w:ilvl w:val="0"/>
                <w:numId w:val="14"/>
              </w:numPr>
              <w:jc w:val="center"/>
            </w:pPr>
            <w:r>
              <w:t>Regulatory approval</w:t>
            </w:r>
            <w:r w:rsidR="00602332">
              <w:t xml:space="preserve"> in the US and EU</w:t>
            </w:r>
            <w:r>
              <w:t xml:space="preserve"> for novel and generic drugs (small molecules &amp; biologics)</w:t>
            </w:r>
            <w:r w:rsidR="00720D7A">
              <w:t>.</w:t>
            </w:r>
            <w:r>
              <w:t xml:space="preserve">  </w:t>
            </w:r>
          </w:p>
          <w:p w14:paraId="1D61FC20" w14:textId="34913B59" w:rsidR="00C37068" w:rsidRDefault="008C1FE3" w:rsidP="008C1FE3">
            <w:pPr>
              <w:pStyle w:val="aa"/>
              <w:numPr>
                <w:ilvl w:val="0"/>
                <w:numId w:val="14"/>
              </w:numPr>
              <w:jc w:val="center"/>
            </w:pPr>
            <w:r>
              <w:t xml:space="preserve">Special conditions for accelerated </w:t>
            </w:r>
            <w:r w:rsidR="00176C1B">
              <w:t>approval: fast</w:t>
            </w:r>
            <w:r>
              <w:t xml:space="preserve"> track, emergency &amp; </w:t>
            </w:r>
            <w:r w:rsidR="00602332">
              <w:t xml:space="preserve">orphan drug approval. </w:t>
            </w:r>
          </w:p>
          <w:p w14:paraId="51D8B355" w14:textId="039860AB" w:rsidR="00602332" w:rsidRDefault="008C1FE3" w:rsidP="00C37068">
            <w:pPr>
              <w:pStyle w:val="aa"/>
              <w:numPr>
                <w:ilvl w:val="0"/>
                <w:numId w:val="14"/>
              </w:numPr>
              <w:jc w:val="center"/>
            </w:pPr>
            <w:r>
              <w:t>Drug monographs</w:t>
            </w:r>
            <w:r w:rsidR="00720D7A">
              <w:t>.</w:t>
            </w:r>
            <w:r>
              <w:t xml:space="preserve"> </w:t>
            </w:r>
          </w:p>
        </w:tc>
      </w:tr>
      <w:tr w:rsidR="00C37068" w14:paraId="2999E02A" w14:textId="77777777" w:rsidTr="00C66EDE">
        <w:tc>
          <w:tcPr>
            <w:tcW w:w="543" w:type="pct"/>
          </w:tcPr>
          <w:p w14:paraId="0BD56F97" w14:textId="77777777" w:rsidR="00602332" w:rsidRPr="00BA25BF" w:rsidRDefault="00602332" w:rsidP="00E7565C">
            <w:pPr>
              <w:jc w:val="center"/>
              <w:rPr>
                <w:b/>
                <w:bCs/>
              </w:rPr>
            </w:pPr>
            <w:r w:rsidRPr="00BA25BF">
              <w:rPr>
                <w:b/>
                <w:bCs/>
              </w:rPr>
              <w:t>3</w:t>
            </w:r>
          </w:p>
        </w:tc>
        <w:tc>
          <w:tcPr>
            <w:tcW w:w="609" w:type="pct"/>
          </w:tcPr>
          <w:p w14:paraId="65B175B9" w14:textId="16502D3E" w:rsidR="00602332" w:rsidRDefault="00C37068" w:rsidP="00E7565C">
            <w:pPr>
              <w:jc w:val="center"/>
            </w:pPr>
            <w:r>
              <w:t>6.1.22</w:t>
            </w:r>
          </w:p>
        </w:tc>
        <w:tc>
          <w:tcPr>
            <w:tcW w:w="626" w:type="pct"/>
          </w:tcPr>
          <w:p w14:paraId="02230DD1" w14:textId="1584BEC3" w:rsidR="00602332" w:rsidRDefault="00C37068" w:rsidP="00E7565C">
            <w:pPr>
              <w:jc w:val="center"/>
            </w:pPr>
            <w:r>
              <w:t>Shlomi Harpaz</w:t>
            </w:r>
          </w:p>
        </w:tc>
        <w:tc>
          <w:tcPr>
            <w:tcW w:w="1203" w:type="pct"/>
          </w:tcPr>
          <w:p w14:paraId="16269C19" w14:textId="3C504427" w:rsidR="00602332" w:rsidRDefault="00602332" w:rsidP="00E7565C">
            <w:pPr>
              <w:jc w:val="center"/>
            </w:pPr>
            <w:r>
              <w:t>Medical Device and Combination Product Approval Processes</w:t>
            </w:r>
          </w:p>
        </w:tc>
        <w:tc>
          <w:tcPr>
            <w:tcW w:w="2019" w:type="pct"/>
          </w:tcPr>
          <w:p w14:paraId="27542361" w14:textId="77777777" w:rsidR="00C66EDE" w:rsidRDefault="00602332" w:rsidP="00C37068">
            <w:pPr>
              <w:pStyle w:val="aa"/>
              <w:numPr>
                <w:ilvl w:val="0"/>
                <w:numId w:val="15"/>
              </w:numPr>
              <w:jc w:val="center"/>
            </w:pPr>
            <w:r>
              <w:t>Medical device classification</w:t>
            </w:r>
            <w:r w:rsidR="00C66EDE">
              <w:t xml:space="preserve">. </w:t>
            </w:r>
          </w:p>
          <w:p w14:paraId="52C64E29" w14:textId="4A472B47" w:rsidR="00C37068" w:rsidRDefault="00602332" w:rsidP="00C37068">
            <w:pPr>
              <w:pStyle w:val="aa"/>
              <w:numPr>
                <w:ilvl w:val="0"/>
                <w:numId w:val="15"/>
              </w:numPr>
              <w:jc w:val="center"/>
            </w:pPr>
            <w:r>
              <w:t>PMA, de novo and 510k processes for medical devices</w:t>
            </w:r>
            <w:r w:rsidR="00C37068">
              <w:t>.</w:t>
            </w:r>
          </w:p>
          <w:p w14:paraId="59D8C44C" w14:textId="77777777" w:rsidR="00C37068" w:rsidRDefault="00C37068" w:rsidP="00C37068">
            <w:pPr>
              <w:pStyle w:val="aa"/>
              <w:numPr>
                <w:ilvl w:val="0"/>
                <w:numId w:val="15"/>
              </w:numPr>
              <w:jc w:val="center"/>
            </w:pPr>
            <w:r>
              <w:t>S</w:t>
            </w:r>
            <w:r w:rsidR="00602332">
              <w:t xml:space="preserve">ubmission to Notified Bodies. </w:t>
            </w:r>
          </w:p>
          <w:p w14:paraId="623F1873" w14:textId="1CB15363" w:rsidR="00602332" w:rsidRDefault="00602332" w:rsidP="00C37068">
            <w:pPr>
              <w:pStyle w:val="aa"/>
              <w:numPr>
                <w:ilvl w:val="0"/>
                <w:numId w:val="15"/>
              </w:numPr>
              <w:jc w:val="center"/>
            </w:pPr>
            <w:r>
              <w:t xml:space="preserve">Combination product approval processes. </w:t>
            </w:r>
          </w:p>
        </w:tc>
      </w:tr>
      <w:tr w:rsidR="00C37068" w:rsidRPr="00CD2325" w14:paraId="10C1645C" w14:textId="77777777" w:rsidTr="00C66EDE">
        <w:tc>
          <w:tcPr>
            <w:tcW w:w="543" w:type="pct"/>
          </w:tcPr>
          <w:p w14:paraId="0F39681A" w14:textId="77777777" w:rsidR="00602332" w:rsidRPr="00BA25BF" w:rsidRDefault="00602332" w:rsidP="00E7565C">
            <w:pPr>
              <w:jc w:val="center"/>
              <w:rPr>
                <w:b/>
                <w:bCs/>
              </w:rPr>
            </w:pPr>
            <w:r w:rsidRPr="00BA25BF">
              <w:rPr>
                <w:b/>
                <w:bCs/>
              </w:rPr>
              <w:lastRenderedPageBreak/>
              <w:t>4</w:t>
            </w:r>
          </w:p>
        </w:tc>
        <w:tc>
          <w:tcPr>
            <w:tcW w:w="609" w:type="pct"/>
          </w:tcPr>
          <w:p w14:paraId="26313813" w14:textId="634F595C" w:rsidR="00602332" w:rsidRDefault="00C37068" w:rsidP="00E7565C">
            <w:pPr>
              <w:jc w:val="center"/>
            </w:pPr>
            <w:r>
              <w:t>13.1.22</w:t>
            </w:r>
          </w:p>
        </w:tc>
        <w:tc>
          <w:tcPr>
            <w:tcW w:w="626" w:type="pct"/>
          </w:tcPr>
          <w:p w14:paraId="44945FFB" w14:textId="29FBF3E9" w:rsidR="00602332" w:rsidRDefault="00C37068" w:rsidP="00E7565C">
            <w:pPr>
              <w:jc w:val="center"/>
            </w:pPr>
            <w:r>
              <w:t xml:space="preserve">Shlomi Harpaz </w:t>
            </w:r>
          </w:p>
        </w:tc>
        <w:tc>
          <w:tcPr>
            <w:tcW w:w="1203" w:type="pct"/>
          </w:tcPr>
          <w:p w14:paraId="285B73CE" w14:textId="1EFEFDD7" w:rsidR="00602332" w:rsidRDefault="00602332" w:rsidP="00E7565C">
            <w:pPr>
              <w:jc w:val="center"/>
            </w:pPr>
            <w:r>
              <w:t xml:space="preserve">GMP Requirements </w:t>
            </w:r>
          </w:p>
        </w:tc>
        <w:tc>
          <w:tcPr>
            <w:tcW w:w="2019" w:type="pct"/>
          </w:tcPr>
          <w:p w14:paraId="57766ED1" w14:textId="77777777" w:rsidR="00602332" w:rsidRDefault="00602332" w:rsidP="00C37068">
            <w:pPr>
              <w:pStyle w:val="aa"/>
              <w:numPr>
                <w:ilvl w:val="0"/>
                <w:numId w:val="16"/>
              </w:numPr>
              <w:jc w:val="center"/>
            </w:pPr>
            <w:r>
              <w:t>Introduction to GMP/QMS requirements with a focus on two major issues:</w:t>
            </w:r>
          </w:p>
          <w:p w14:paraId="75861E9D" w14:textId="7E12A243" w:rsidR="00602332" w:rsidRDefault="00602332" w:rsidP="00602332">
            <w:pPr>
              <w:pStyle w:val="aa"/>
              <w:numPr>
                <w:ilvl w:val="0"/>
                <w:numId w:val="12"/>
              </w:numPr>
              <w:jc w:val="center"/>
            </w:pPr>
            <w:r w:rsidRPr="00CD2325">
              <w:t>Design control requirements – focusing on the medical device example</w:t>
            </w:r>
            <w:r w:rsidR="00C37068">
              <w:t>.</w:t>
            </w:r>
          </w:p>
          <w:p w14:paraId="3551734F" w14:textId="2BE7F1A8" w:rsidR="00602332" w:rsidRPr="00CD2325" w:rsidRDefault="00602332" w:rsidP="00602332">
            <w:pPr>
              <w:pStyle w:val="aa"/>
              <w:numPr>
                <w:ilvl w:val="0"/>
                <w:numId w:val="12"/>
              </w:numPr>
              <w:jc w:val="center"/>
            </w:pPr>
            <w:r>
              <w:t>Manufacturing controls – with a focus on how to establish, validate and control a manufacturing process per GMP requirements</w:t>
            </w:r>
            <w:r w:rsidR="00C37068">
              <w:t>.</w:t>
            </w:r>
          </w:p>
        </w:tc>
      </w:tr>
      <w:tr w:rsidR="00C37068" w14:paraId="40781DB5" w14:textId="77777777" w:rsidTr="00C66EDE">
        <w:tc>
          <w:tcPr>
            <w:tcW w:w="543" w:type="pct"/>
          </w:tcPr>
          <w:p w14:paraId="6633DBE9" w14:textId="77777777" w:rsidR="00602332" w:rsidRPr="00BA25BF" w:rsidRDefault="00602332" w:rsidP="00E7565C">
            <w:pPr>
              <w:jc w:val="center"/>
              <w:rPr>
                <w:b/>
                <w:bCs/>
              </w:rPr>
            </w:pPr>
            <w:r>
              <w:rPr>
                <w:b/>
                <w:bCs/>
              </w:rPr>
              <w:t>5</w:t>
            </w:r>
          </w:p>
        </w:tc>
        <w:tc>
          <w:tcPr>
            <w:tcW w:w="609" w:type="pct"/>
          </w:tcPr>
          <w:p w14:paraId="5DA51F72" w14:textId="7F08CCB6" w:rsidR="00602332" w:rsidRDefault="00C37068" w:rsidP="00E7565C">
            <w:pPr>
              <w:jc w:val="center"/>
            </w:pPr>
            <w:r>
              <w:t>20.1.22</w:t>
            </w:r>
          </w:p>
        </w:tc>
        <w:tc>
          <w:tcPr>
            <w:tcW w:w="626" w:type="pct"/>
          </w:tcPr>
          <w:p w14:paraId="3BD71F10" w14:textId="453F1C0C" w:rsidR="00602332" w:rsidRDefault="00C37068" w:rsidP="00E7565C">
            <w:pPr>
              <w:jc w:val="center"/>
            </w:pPr>
            <w:r>
              <w:t>Aric Orbach</w:t>
            </w:r>
          </w:p>
        </w:tc>
        <w:tc>
          <w:tcPr>
            <w:tcW w:w="1203" w:type="pct"/>
          </w:tcPr>
          <w:p w14:paraId="6E886637" w14:textId="3C517E73" w:rsidR="00C37068" w:rsidRDefault="00602332" w:rsidP="00C37068">
            <w:pPr>
              <w:jc w:val="center"/>
            </w:pPr>
            <w:r>
              <w:t>Bench and animal testing; early phase clinical testing</w:t>
            </w:r>
          </w:p>
          <w:p w14:paraId="01C62D64" w14:textId="2ABDE312" w:rsidR="00602332" w:rsidRDefault="00602332" w:rsidP="00E7565C">
            <w:pPr>
              <w:jc w:val="center"/>
            </w:pPr>
          </w:p>
        </w:tc>
        <w:tc>
          <w:tcPr>
            <w:tcW w:w="2019" w:type="pct"/>
          </w:tcPr>
          <w:p w14:paraId="5AF1AB30" w14:textId="40BE307C" w:rsidR="008C1FE3" w:rsidRDefault="00602332" w:rsidP="008C1FE3">
            <w:pPr>
              <w:pStyle w:val="aa"/>
              <w:numPr>
                <w:ilvl w:val="0"/>
                <w:numId w:val="17"/>
              </w:numPr>
              <w:jc w:val="center"/>
            </w:pPr>
            <w:r>
              <w:t>Major categories of preclinical testing for drugs, biologics and devices –</w:t>
            </w:r>
            <w:r w:rsidR="008C1FE3">
              <w:t>efficacy,</w:t>
            </w:r>
            <w:r>
              <w:t xml:space="preserve"> toxicity, pharmacokinetics</w:t>
            </w:r>
            <w:r w:rsidR="00491EE5">
              <w:t>.</w:t>
            </w:r>
          </w:p>
          <w:p w14:paraId="63788D53" w14:textId="7EE07F58" w:rsidR="00C37068" w:rsidRDefault="00602332" w:rsidP="008C1FE3">
            <w:pPr>
              <w:pStyle w:val="aa"/>
              <w:numPr>
                <w:ilvl w:val="0"/>
                <w:numId w:val="17"/>
              </w:numPr>
              <w:jc w:val="center"/>
            </w:pPr>
            <w:r>
              <w:t xml:space="preserve"> </w:t>
            </w:r>
            <w:r w:rsidR="00176C1B">
              <w:t>M</w:t>
            </w:r>
            <w:r w:rsidR="008C1FE3">
              <w:t>anufacturing</w:t>
            </w:r>
            <w:r w:rsidR="00176C1B">
              <w:t xml:space="preserve"> requirements</w:t>
            </w:r>
            <w:r>
              <w:t>.</w:t>
            </w:r>
          </w:p>
          <w:p w14:paraId="590E6E91" w14:textId="3D6AC146" w:rsidR="008C1FE3" w:rsidRDefault="008C1FE3" w:rsidP="00C37068">
            <w:pPr>
              <w:pStyle w:val="aa"/>
              <w:numPr>
                <w:ilvl w:val="0"/>
                <w:numId w:val="17"/>
              </w:numPr>
              <w:jc w:val="center"/>
            </w:pPr>
            <w:r>
              <w:t>Requirements from animal studies.</w:t>
            </w:r>
          </w:p>
          <w:p w14:paraId="438572C5" w14:textId="0325139A" w:rsidR="00176C1B" w:rsidRDefault="00176C1B" w:rsidP="00C37068">
            <w:pPr>
              <w:pStyle w:val="aa"/>
              <w:numPr>
                <w:ilvl w:val="0"/>
                <w:numId w:val="17"/>
              </w:numPr>
              <w:jc w:val="center"/>
            </w:pPr>
            <w:proofErr w:type="spellStart"/>
            <w:r>
              <w:t>GxP</w:t>
            </w:r>
            <w:proofErr w:type="spellEnd"/>
            <w:r>
              <w:t xml:space="preserve"> status </w:t>
            </w:r>
          </w:p>
          <w:p w14:paraId="3033E7D6" w14:textId="7970C2D0" w:rsidR="00176C1B" w:rsidRDefault="00176C1B" w:rsidP="00176C1B">
            <w:pPr>
              <w:pStyle w:val="aa"/>
              <w:numPr>
                <w:ilvl w:val="0"/>
                <w:numId w:val="17"/>
              </w:numPr>
              <w:jc w:val="center"/>
            </w:pPr>
            <w:r>
              <w:t>Early clinical phases, phase 0 (micro dosing) &amp; Pilot testing of devices.</w:t>
            </w:r>
          </w:p>
          <w:p w14:paraId="7DC9C42E" w14:textId="5439AABE" w:rsidR="00602332" w:rsidRDefault="00176C1B" w:rsidP="00176C1B">
            <w:pPr>
              <w:pStyle w:val="aa"/>
              <w:numPr>
                <w:ilvl w:val="0"/>
                <w:numId w:val="17"/>
              </w:numPr>
              <w:jc w:val="center"/>
            </w:pPr>
            <w:r>
              <w:t xml:space="preserve">Clinical </w:t>
            </w:r>
            <w:r w:rsidR="00602332">
              <w:t xml:space="preserve">Phase, I and II drug testing </w:t>
            </w:r>
          </w:p>
        </w:tc>
      </w:tr>
      <w:tr w:rsidR="00C37068" w14:paraId="4228F38E" w14:textId="77777777" w:rsidTr="00C66EDE">
        <w:tc>
          <w:tcPr>
            <w:tcW w:w="543" w:type="pct"/>
          </w:tcPr>
          <w:p w14:paraId="5B18927A" w14:textId="77777777" w:rsidR="00602332" w:rsidRPr="00BA25BF" w:rsidRDefault="00602332" w:rsidP="00E7565C">
            <w:pPr>
              <w:jc w:val="center"/>
              <w:rPr>
                <w:b/>
                <w:bCs/>
              </w:rPr>
            </w:pPr>
            <w:r>
              <w:rPr>
                <w:b/>
                <w:bCs/>
              </w:rPr>
              <w:t>6</w:t>
            </w:r>
          </w:p>
        </w:tc>
        <w:tc>
          <w:tcPr>
            <w:tcW w:w="609" w:type="pct"/>
          </w:tcPr>
          <w:p w14:paraId="793773E8" w14:textId="7C0E1EF2" w:rsidR="00602332" w:rsidRDefault="00C37068" w:rsidP="00E7565C">
            <w:pPr>
              <w:jc w:val="center"/>
            </w:pPr>
            <w:r>
              <w:t>27.1.22</w:t>
            </w:r>
          </w:p>
        </w:tc>
        <w:tc>
          <w:tcPr>
            <w:tcW w:w="626" w:type="pct"/>
          </w:tcPr>
          <w:p w14:paraId="1F8F6C77" w14:textId="3202A698" w:rsidR="00602332" w:rsidRDefault="00C37068" w:rsidP="00E7565C">
            <w:pPr>
              <w:jc w:val="center"/>
            </w:pPr>
            <w:r>
              <w:t>Aric Orbach</w:t>
            </w:r>
          </w:p>
        </w:tc>
        <w:tc>
          <w:tcPr>
            <w:tcW w:w="1203" w:type="pct"/>
          </w:tcPr>
          <w:p w14:paraId="58B83779" w14:textId="7CFE5703" w:rsidR="00602332" w:rsidRDefault="00602332" w:rsidP="00E7565C">
            <w:pPr>
              <w:jc w:val="center"/>
            </w:pPr>
            <w:r>
              <w:t>Clinical Trial Design</w:t>
            </w:r>
          </w:p>
        </w:tc>
        <w:tc>
          <w:tcPr>
            <w:tcW w:w="2019" w:type="pct"/>
          </w:tcPr>
          <w:p w14:paraId="68BDB742" w14:textId="4E33FE6B" w:rsidR="00176C1B" w:rsidRDefault="00176C1B" w:rsidP="00C37068">
            <w:pPr>
              <w:pStyle w:val="aa"/>
              <w:numPr>
                <w:ilvl w:val="0"/>
                <w:numId w:val="18"/>
              </w:numPr>
              <w:jc w:val="center"/>
            </w:pPr>
            <w:r>
              <w:t>Regulatory phase III requirements</w:t>
            </w:r>
            <w:r w:rsidR="00491EE5">
              <w:t>.</w:t>
            </w:r>
            <w:r>
              <w:t xml:space="preserve"> </w:t>
            </w:r>
          </w:p>
          <w:p w14:paraId="02B0B68A" w14:textId="748C876B" w:rsidR="00176C1B" w:rsidRDefault="00176C1B" w:rsidP="00176C1B">
            <w:pPr>
              <w:pStyle w:val="aa"/>
              <w:numPr>
                <w:ilvl w:val="0"/>
                <w:numId w:val="18"/>
              </w:numPr>
              <w:jc w:val="center"/>
            </w:pPr>
            <w:r>
              <w:t>Study design in correlation with the applicable regulatory requirements – study arms, randomization, blinding, inclusion / exclusion criteria</w:t>
            </w:r>
            <w:r w:rsidR="00491EE5">
              <w:t>.</w:t>
            </w:r>
            <w:r>
              <w:t xml:space="preserve"> </w:t>
            </w:r>
          </w:p>
          <w:p w14:paraId="7DBA5C15" w14:textId="6A965AA5" w:rsidR="00176C1B" w:rsidRDefault="00176C1B" w:rsidP="00C37068">
            <w:pPr>
              <w:pStyle w:val="aa"/>
              <w:numPr>
                <w:ilvl w:val="0"/>
                <w:numId w:val="18"/>
              </w:numPr>
              <w:jc w:val="center"/>
            </w:pPr>
            <w:r>
              <w:t>Advanced trail design (phase II/III, adaptive design, futility assessment, e</w:t>
            </w:r>
            <w:r w:rsidR="00491EE5">
              <w:t>tc.</w:t>
            </w:r>
            <w:r>
              <w:t xml:space="preserve">) </w:t>
            </w:r>
          </w:p>
          <w:p w14:paraId="2E34FF0A" w14:textId="54632524" w:rsidR="00602332" w:rsidRDefault="00176C1B" w:rsidP="00176C1B">
            <w:pPr>
              <w:pStyle w:val="aa"/>
              <w:numPr>
                <w:ilvl w:val="0"/>
                <w:numId w:val="18"/>
              </w:numPr>
              <w:jc w:val="center"/>
            </w:pPr>
            <w:r>
              <w:t>Study sites, study monitoring, sample and data analysis</w:t>
            </w:r>
            <w:r w:rsidR="00C37068">
              <w:t xml:space="preserve">. </w:t>
            </w:r>
          </w:p>
        </w:tc>
      </w:tr>
      <w:tr w:rsidR="00C37068" w14:paraId="303AFF93" w14:textId="77777777" w:rsidTr="00C66EDE">
        <w:tc>
          <w:tcPr>
            <w:tcW w:w="543" w:type="pct"/>
          </w:tcPr>
          <w:p w14:paraId="38146F05" w14:textId="77777777" w:rsidR="00602332" w:rsidRPr="00BA25BF" w:rsidRDefault="00602332" w:rsidP="00E7565C">
            <w:pPr>
              <w:jc w:val="center"/>
              <w:rPr>
                <w:b/>
                <w:bCs/>
              </w:rPr>
            </w:pPr>
            <w:r>
              <w:rPr>
                <w:b/>
                <w:bCs/>
              </w:rPr>
              <w:t>7</w:t>
            </w:r>
          </w:p>
        </w:tc>
        <w:tc>
          <w:tcPr>
            <w:tcW w:w="609" w:type="pct"/>
          </w:tcPr>
          <w:p w14:paraId="7BAE899E" w14:textId="5CEA23BC" w:rsidR="00602332" w:rsidRDefault="00C37068" w:rsidP="00E7565C">
            <w:pPr>
              <w:jc w:val="center"/>
            </w:pPr>
            <w:r>
              <w:t>3.2.22</w:t>
            </w:r>
          </w:p>
        </w:tc>
        <w:tc>
          <w:tcPr>
            <w:tcW w:w="626" w:type="pct"/>
          </w:tcPr>
          <w:p w14:paraId="3FBAF7E7" w14:textId="010F4E7B" w:rsidR="00602332" w:rsidRDefault="00C37068" w:rsidP="00E7565C">
            <w:pPr>
              <w:jc w:val="center"/>
            </w:pPr>
            <w:r>
              <w:t>Shlomi Harpaz</w:t>
            </w:r>
          </w:p>
        </w:tc>
        <w:tc>
          <w:tcPr>
            <w:tcW w:w="1203" w:type="pct"/>
          </w:tcPr>
          <w:p w14:paraId="02F3E3E5" w14:textId="5BCF5E0D" w:rsidR="00602332" w:rsidRDefault="00602332" w:rsidP="00E7565C">
            <w:pPr>
              <w:jc w:val="center"/>
            </w:pPr>
            <w:r>
              <w:t>Clinical Trial Initiation, Conduct and Reporting</w:t>
            </w:r>
          </w:p>
        </w:tc>
        <w:tc>
          <w:tcPr>
            <w:tcW w:w="2019" w:type="pct"/>
          </w:tcPr>
          <w:p w14:paraId="2AB3E194" w14:textId="77777777" w:rsidR="00C37068" w:rsidRDefault="00602332" w:rsidP="00C37068">
            <w:pPr>
              <w:pStyle w:val="aa"/>
              <w:numPr>
                <w:ilvl w:val="0"/>
                <w:numId w:val="19"/>
              </w:numPr>
              <w:jc w:val="center"/>
            </w:pPr>
            <w:r>
              <w:t>Investigational approval submissions (IDE/IND)</w:t>
            </w:r>
            <w:r w:rsidR="00C37068">
              <w:t>.</w:t>
            </w:r>
          </w:p>
          <w:p w14:paraId="0396A534" w14:textId="77777777" w:rsidR="00C37068" w:rsidRDefault="00602332" w:rsidP="00C37068">
            <w:pPr>
              <w:pStyle w:val="aa"/>
              <w:numPr>
                <w:ilvl w:val="0"/>
                <w:numId w:val="19"/>
              </w:numPr>
              <w:jc w:val="center"/>
            </w:pPr>
            <w:r>
              <w:t>Submissions to Helsinki committees</w:t>
            </w:r>
            <w:r w:rsidR="00C37068">
              <w:t xml:space="preserve">. </w:t>
            </w:r>
          </w:p>
          <w:p w14:paraId="497A008C" w14:textId="77777777" w:rsidR="00C37068" w:rsidRDefault="00C37068" w:rsidP="00C37068">
            <w:pPr>
              <w:pStyle w:val="aa"/>
              <w:numPr>
                <w:ilvl w:val="0"/>
                <w:numId w:val="19"/>
              </w:numPr>
              <w:jc w:val="center"/>
            </w:pPr>
            <w:r>
              <w:t>I</w:t>
            </w:r>
            <w:r w:rsidR="00602332">
              <w:t>nformed consent process</w:t>
            </w:r>
            <w:r>
              <w:t>.</w:t>
            </w:r>
          </w:p>
          <w:p w14:paraId="41E89AD0" w14:textId="77777777" w:rsidR="00C37068" w:rsidRDefault="00C37068" w:rsidP="00C37068">
            <w:pPr>
              <w:pStyle w:val="aa"/>
              <w:numPr>
                <w:ilvl w:val="0"/>
                <w:numId w:val="19"/>
              </w:numPr>
              <w:jc w:val="center"/>
            </w:pPr>
            <w:r>
              <w:t>A</w:t>
            </w:r>
            <w:r w:rsidR="00602332">
              <w:t>dverse events reporting</w:t>
            </w:r>
            <w:r>
              <w:t>.</w:t>
            </w:r>
          </w:p>
          <w:p w14:paraId="617A69D5" w14:textId="62225C7A" w:rsidR="00602332" w:rsidRDefault="00C37068" w:rsidP="00C37068">
            <w:pPr>
              <w:pStyle w:val="aa"/>
              <w:numPr>
                <w:ilvl w:val="0"/>
                <w:numId w:val="19"/>
              </w:numPr>
              <w:jc w:val="center"/>
            </w:pPr>
            <w:r>
              <w:lastRenderedPageBreak/>
              <w:t>P</w:t>
            </w:r>
            <w:r w:rsidR="00602332">
              <w:t>reparation of clinical investigation reports</w:t>
            </w:r>
            <w:r>
              <w:t>.</w:t>
            </w:r>
          </w:p>
        </w:tc>
      </w:tr>
      <w:tr w:rsidR="00C37068" w14:paraId="2D3E00D5" w14:textId="77777777" w:rsidTr="00C66EDE">
        <w:tc>
          <w:tcPr>
            <w:tcW w:w="543" w:type="pct"/>
          </w:tcPr>
          <w:p w14:paraId="626B8A29" w14:textId="77777777" w:rsidR="00602332" w:rsidRPr="00BA25BF" w:rsidRDefault="00602332" w:rsidP="00E7565C">
            <w:pPr>
              <w:jc w:val="center"/>
              <w:rPr>
                <w:b/>
                <w:bCs/>
              </w:rPr>
            </w:pPr>
            <w:r w:rsidRPr="00BA25BF">
              <w:rPr>
                <w:b/>
                <w:bCs/>
              </w:rPr>
              <w:lastRenderedPageBreak/>
              <w:t>8</w:t>
            </w:r>
          </w:p>
        </w:tc>
        <w:tc>
          <w:tcPr>
            <w:tcW w:w="609" w:type="pct"/>
          </w:tcPr>
          <w:p w14:paraId="14429313" w14:textId="422D01B6" w:rsidR="00602332" w:rsidRDefault="00C37068" w:rsidP="00E7565C">
            <w:pPr>
              <w:jc w:val="center"/>
            </w:pPr>
            <w:r>
              <w:t>10.2.22</w:t>
            </w:r>
          </w:p>
        </w:tc>
        <w:tc>
          <w:tcPr>
            <w:tcW w:w="626" w:type="pct"/>
          </w:tcPr>
          <w:p w14:paraId="633BC282" w14:textId="3FFBB7CD" w:rsidR="00602332" w:rsidRDefault="00C37068" w:rsidP="00E7565C">
            <w:pPr>
              <w:jc w:val="center"/>
            </w:pPr>
            <w:r>
              <w:t xml:space="preserve">Shlomi Harpaz </w:t>
            </w:r>
          </w:p>
        </w:tc>
        <w:tc>
          <w:tcPr>
            <w:tcW w:w="1203" w:type="pct"/>
          </w:tcPr>
          <w:p w14:paraId="52A025FA" w14:textId="0A7F4875" w:rsidR="00602332" w:rsidRDefault="00602332" w:rsidP="00E7565C">
            <w:pPr>
              <w:jc w:val="center"/>
            </w:pPr>
            <w:r>
              <w:t>Post Marketing Activities and Marketing-Related Challenges</w:t>
            </w:r>
          </w:p>
        </w:tc>
        <w:tc>
          <w:tcPr>
            <w:tcW w:w="2019" w:type="pct"/>
          </w:tcPr>
          <w:p w14:paraId="2A7E0CEC" w14:textId="77777777" w:rsidR="00C37068" w:rsidRDefault="00602332" w:rsidP="00C37068">
            <w:pPr>
              <w:pStyle w:val="aa"/>
              <w:numPr>
                <w:ilvl w:val="0"/>
                <w:numId w:val="20"/>
              </w:numPr>
              <w:jc w:val="center"/>
            </w:pPr>
            <w:r>
              <w:t>Adverse events reporting and recalls</w:t>
            </w:r>
            <w:r w:rsidR="00C37068">
              <w:t xml:space="preserve">. </w:t>
            </w:r>
          </w:p>
          <w:p w14:paraId="4C112A1B" w14:textId="77777777" w:rsidR="00C37068" w:rsidRDefault="00C37068" w:rsidP="00C37068">
            <w:pPr>
              <w:pStyle w:val="aa"/>
              <w:numPr>
                <w:ilvl w:val="0"/>
                <w:numId w:val="20"/>
              </w:numPr>
              <w:jc w:val="center"/>
            </w:pPr>
            <w:r>
              <w:t>R</w:t>
            </w:r>
            <w:r w:rsidR="00602332">
              <w:t>eporting on changes</w:t>
            </w:r>
            <w:r>
              <w:t xml:space="preserve">. </w:t>
            </w:r>
          </w:p>
          <w:p w14:paraId="27D05730" w14:textId="77777777" w:rsidR="00C37068" w:rsidRDefault="00C37068" w:rsidP="00C37068">
            <w:pPr>
              <w:pStyle w:val="aa"/>
              <w:numPr>
                <w:ilvl w:val="0"/>
                <w:numId w:val="20"/>
              </w:numPr>
              <w:jc w:val="center"/>
            </w:pPr>
            <w:r>
              <w:t>P</w:t>
            </w:r>
            <w:r w:rsidR="00602332">
              <w:t>ost marketing / phase IV clinical studies – objectives &amp; design</w:t>
            </w:r>
            <w:r>
              <w:t xml:space="preserve">. </w:t>
            </w:r>
          </w:p>
          <w:p w14:paraId="64DDD4EA" w14:textId="61DDF8E2" w:rsidR="00602332" w:rsidRDefault="00C37068" w:rsidP="00C37068">
            <w:pPr>
              <w:pStyle w:val="aa"/>
              <w:numPr>
                <w:ilvl w:val="0"/>
                <w:numId w:val="20"/>
              </w:numPr>
              <w:jc w:val="center"/>
            </w:pPr>
            <w:r>
              <w:t>R</w:t>
            </w:r>
            <w:r w:rsidR="00602332">
              <w:t>eimbursement challenges</w:t>
            </w:r>
            <w:r w:rsidR="00C66EDE">
              <w:t>.</w:t>
            </w:r>
            <w:r w:rsidR="00602332">
              <w:t xml:space="preserve"> </w:t>
            </w:r>
          </w:p>
        </w:tc>
      </w:tr>
    </w:tbl>
    <w:p w14:paraId="4A9F6DCB" w14:textId="77777777" w:rsidR="008613F6" w:rsidRPr="00506878" w:rsidRDefault="008613F6" w:rsidP="00634A75">
      <w:pPr>
        <w:pStyle w:val="WPNormal"/>
        <w:rPr>
          <w:rFonts w:ascii="Times" w:hAnsi="Times"/>
          <w:bCs/>
        </w:rPr>
      </w:pPr>
    </w:p>
    <w:p w14:paraId="6143D418" w14:textId="77777777" w:rsidR="00B7568B" w:rsidRDefault="00B7568B" w:rsidP="00634A75">
      <w:pPr>
        <w:pStyle w:val="WPNormal"/>
        <w:rPr>
          <w:rFonts w:ascii="Times" w:hAnsi="Times"/>
          <w:b/>
        </w:rPr>
      </w:pPr>
    </w:p>
    <w:p w14:paraId="022C8446" w14:textId="77777777" w:rsidR="0014634C" w:rsidRDefault="0014634C" w:rsidP="00634A75">
      <w:pPr>
        <w:pStyle w:val="WPNormal"/>
        <w:rPr>
          <w:rFonts w:ascii="Times" w:hAnsi="Times"/>
          <w:b/>
        </w:rPr>
      </w:pPr>
    </w:p>
    <w:p w14:paraId="6515B07F" w14:textId="77777777" w:rsidR="00C876E6" w:rsidRPr="00506878" w:rsidRDefault="00C876E6" w:rsidP="00634A75">
      <w:pPr>
        <w:pStyle w:val="WPNormal"/>
        <w:rPr>
          <w:rFonts w:ascii="Times" w:hAnsi="Times"/>
          <w:bCs/>
        </w:rPr>
      </w:pPr>
    </w:p>
    <w:p w14:paraId="0C20D5E0" w14:textId="77777777" w:rsidR="00461D77" w:rsidRPr="00EE2692" w:rsidRDefault="006F5BC1" w:rsidP="00634A75">
      <w:pPr>
        <w:pStyle w:val="WPNormal"/>
        <w:rPr>
          <w:rFonts w:ascii="Times" w:hAnsi="Times"/>
          <w:b/>
        </w:rPr>
      </w:pPr>
      <w:r w:rsidRPr="00EE2692">
        <w:rPr>
          <w:rFonts w:ascii="Times" w:hAnsi="Times"/>
          <w:b/>
        </w:rPr>
        <w:t xml:space="preserve">Assignments and </w:t>
      </w:r>
      <w:r w:rsidR="00E810DE" w:rsidRPr="00EE2692">
        <w:rPr>
          <w:rFonts w:ascii="Times" w:hAnsi="Times"/>
          <w:b/>
        </w:rPr>
        <w:t>Grading Procedures</w:t>
      </w:r>
    </w:p>
    <w:p w14:paraId="62B9AEC4" w14:textId="77777777" w:rsidR="006F5BC1" w:rsidRPr="00EE2692" w:rsidRDefault="006F5BC1" w:rsidP="00634A75">
      <w:pPr>
        <w:pStyle w:val="WPNormal"/>
        <w:rPr>
          <w:rFonts w:ascii="Times" w:hAnsi="Times"/>
          <w:b/>
        </w:rPr>
      </w:pPr>
    </w:p>
    <w:p w14:paraId="2B6AF007" w14:textId="187B05EB" w:rsidR="00F13848" w:rsidRPr="00EE2692" w:rsidRDefault="00EE2692" w:rsidP="00E000EF">
      <w:pPr>
        <w:pStyle w:val="WPNormal"/>
        <w:numPr>
          <w:ilvl w:val="0"/>
          <w:numId w:val="24"/>
        </w:numPr>
        <w:rPr>
          <w:rFonts w:ascii="Times" w:hAnsi="Times"/>
          <w:bCs/>
        </w:rPr>
      </w:pPr>
      <w:r w:rsidRPr="00EE2692">
        <w:rPr>
          <w:rFonts w:ascii="Times" w:hAnsi="Times"/>
          <w:bCs/>
        </w:rPr>
        <w:t>Case studies – 30% (15% each).</w:t>
      </w:r>
    </w:p>
    <w:p w14:paraId="429EB75A" w14:textId="7F43BB15" w:rsidR="00EE2692" w:rsidRDefault="00EE2692" w:rsidP="00E000EF">
      <w:pPr>
        <w:pStyle w:val="WPNormal"/>
        <w:numPr>
          <w:ilvl w:val="0"/>
          <w:numId w:val="24"/>
        </w:numPr>
        <w:rPr>
          <w:rFonts w:ascii="Times" w:hAnsi="Times"/>
          <w:bCs/>
        </w:rPr>
      </w:pPr>
      <w:r w:rsidRPr="00EE2692">
        <w:rPr>
          <w:rFonts w:ascii="Times" w:hAnsi="Times"/>
          <w:bCs/>
        </w:rPr>
        <w:t xml:space="preserve">Final </w:t>
      </w:r>
      <w:r w:rsidR="00E000EF">
        <w:rPr>
          <w:rFonts w:ascii="Times" w:hAnsi="Times"/>
          <w:bCs/>
        </w:rPr>
        <w:t>project</w:t>
      </w:r>
      <w:r w:rsidRPr="00EE2692">
        <w:rPr>
          <w:rFonts w:ascii="Times" w:hAnsi="Times"/>
          <w:bCs/>
        </w:rPr>
        <w:t>– 70%</w:t>
      </w:r>
    </w:p>
    <w:p w14:paraId="6FACCC50" w14:textId="421E2A6F" w:rsidR="00C4121E" w:rsidRDefault="006F3755" w:rsidP="00634A75">
      <w:pPr>
        <w:pStyle w:val="WPNormal"/>
        <w:rPr>
          <w:rFonts w:ascii="Times" w:hAnsi="Times"/>
          <w:bCs/>
        </w:rPr>
      </w:pPr>
      <w:r>
        <w:rPr>
          <w:rFonts w:ascii="Times" w:hAnsi="Times"/>
          <w:bCs/>
        </w:rPr>
        <w:t>3 points will be deduced for each day of an unapproved delay in submitting an assignment.</w:t>
      </w:r>
    </w:p>
    <w:p w14:paraId="3F9CACEA" w14:textId="77777777" w:rsidR="0014634C" w:rsidRDefault="0014634C" w:rsidP="00634A75">
      <w:pPr>
        <w:pStyle w:val="WPNormal"/>
        <w:rPr>
          <w:rFonts w:ascii="Times" w:hAnsi="Times"/>
          <w:bCs/>
        </w:rPr>
      </w:pPr>
    </w:p>
    <w:p w14:paraId="78A27023" w14:textId="77777777" w:rsidR="00461D77" w:rsidRPr="00506878" w:rsidRDefault="00461D77" w:rsidP="00634A75">
      <w:pPr>
        <w:pStyle w:val="WPNormal"/>
        <w:rPr>
          <w:rFonts w:ascii="Times" w:hAnsi="Times"/>
          <w:bCs/>
        </w:rPr>
      </w:pPr>
    </w:p>
    <w:p w14:paraId="0AB4D479" w14:textId="77777777" w:rsidR="00C876E6" w:rsidRPr="00774912" w:rsidRDefault="00461D77" w:rsidP="00634A75">
      <w:pPr>
        <w:pStyle w:val="WPNormal"/>
        <w:rPr>
          <w:rFonts w:ascii="Times" w:hAnsi="Times"/>
          <w:b/>
        </w:rPr>
      </w:pPr>
      <w:r w:rsidRPr="00774912">
        <w:rPr>
          <w:rFonts w:ascii="Times" w:hAnsi="Times"/>
          <w:b/>
        </w:rPr>
        <w:t>Course Schedule</w:t>
      </w:r>
      <w:r w:rsidR="0033658A" w:rsidRPr="00774912">
        <w:rPr>
          <w:rFonts w:ascii="Times" w:hAnsi="Times"/>
          <w:b/>
        </w:rPr>
        <w:t xml:space="preserve"> (Topics, assignments, Exams)</w:t>
      </w:r>
    </w:p>
    <w:p w14:paraId="5647CCD8" w14:textId="77777777" w:rsidR="00F376EC" w:rsidRPr="00B353C4" w:rsidRDefault="00F376EC" w:rsidP="00634A75">
      <w:pPr>
        <w:pStyle w:val="WPNormal"/>
        <w:rPr>
          <w:rFonts w:ascii="Times" w:hAnsi="Times"/>
          <w:b/>
          <w:highlight w:val="yellow"/>
        </w:rPr>
      </w:pPr>
    </w:p>
    <w:p w14:paraId="24741CCE" w14:textId="77777777" w:rsidR="00774912" w:rsidRPr="00774912" w:rsidRDefault="00774912" w:rsidP="00774912">
      <w:pPr>
        <w:pStyle w:val="WPNormal"/>
        <w:rPr>
          <w:rFonts w:ascii="Times" w:hAnsi="Times"/>
          <w:bCs/>
        </w:rPr>
      </w:pPr>
      <w:r w:rsidRPr="00774912">
        <w:rPr>
          <w:rFonts w:ascii="Times" w:hAnsi="Times"/>
          <w:bCs/>
        </w:rPr>
        <w:t>During the semester two home assignments will be given - each student will be asked to read and answer several questions in relation to a presented case study.</w:t>
      </w:r>
    </w:p>
    <w:p w14:paraId="2DAB3205" w14:textId="3AF69ABD" w:rsidR="00774912" w:rsidRPr="00774912" w:rsidRDefault="00774912" w:rsidP="00774912">
      <w:pPr>
        <w:pStyle w:val="WPNormal"/>
        <w:rPr>
          <w:rFonts w:ascii="Times" w:hAnsi="Times"/>
          <w:bCs/>
        </w:rPr>
      </w:pPr>
      <w:r w:rsidRPr="00774912">
        <w:rPr>
          <w:rFonts w:ascii="Times" w:hAnsi="Times"/>
          <w:bCs/>
        </w:rPr>
        <w:t>During the semester each student /student pair will be asked to choose a yet-to-be-approved drug</w:t>
      </w:r>
      <w:r w:rsidR="00C66EDE">
        <w:rPr>
          <w:rFonts w:ascii="Times" w:hAnsi="Times"/>
          <w:bCs/>
        </w:rPr>
        <w:t xml:space="preserve"> </w:t>
      </w:r>
      <w:r w:rsidRPr="00774912">
        <w:rPr>
          <w:rFonts w:ascii="Times" w:hAnsi="Times"/>
          <w:bCs/>
        </w:rPr>
        <w:t>/</w:t>
      </w:r>
      <w:r w:rsidR="00C66EDE">
        <w:rPr>
          <w:rFonts w:ascii="Times" w:hAnsi="Times"/>
          <w:bCs/>
        </w:rPr>
        <w:t xml:space="preserve"> </w:t>
      </w:r>
      <w:r w:rsidRPr="00774912">
        <w:rPr>
          <w:rFonts w:ascii="Times" w:hAnsi="Times"/>
          <w:bCs/>
        </w:rPr>
        <w:t>biologic</w:t>
      </w:r>
      <w:r w:rsidR="00C66EDE">
        <w:rPr>
          <w:rFonts w:ascii="Times" w:hAnsi="Times"/>
          <w:bCs/>
        </w:rPr>
        <w:t>al</w:t>
      </w:r>
      <w:r w:rsidRPr="00774912">
        <w:rPr>
          <w:rFonts w:ascii="Times" w:hAnsi="Times"/>
          <w:bCs/>
        </w:rPr>
        <w:t xml:space="preserve"> product / device / combination product (could be a product related to the </w:t>
      </w:r>
      <w:r w:rsidR="00C66EDE">
        <w:rPr>
          <w:rFonts w:ascii="Times" w:hAnsi="Times"/>
          <w:bCs/>
        </w:rPr>
        <w:t>student's thesis or to a company s/he is associated with, or any other medical</w:t>
      </w:r>
      <w:r w:rsidRPr="00774912">
        <w:rPr>
          <w:rFonts w:ascii="Times" w:hAnsi="Times"/>
          <w:bCs/>
        </w:rPr>
        <w:t xml:space="preserve"> product that is of interest to </w:t>
      </w:r>
      <w:r w:rsidR="00E54E89">
        <w:rPr>
          <w:rFonts w:ascii="Times" w:hAnsi="Times"/>
          <w:bCs/>
        </w:rPr>
        <w:t>the student/s)</w:t>
      </w:r>
      <w:r w:rsidRPr="00774912">
        <w:rPr>
          <w:rFonts w:ascii="Times" w:hAnsi="Times"/>
          <w:bCs/>
        </w:rPr>
        <w:t xml:space="preserve">. </w:t>
      </w:r>
    </w:p>
    <w:p w14:paraId="1BAAB965" w14:textId="579424A7" w:rsidR="00774912" w:rsidRDefault="00774912" w:rsidP="00774912">
      <w:pPr>
        <w:pStyle w:val="WPNormal"/>
        <w:rPr>
          <w:rFonts w:ascii="Times" w:hAnsi="Times"/>
          <w:bCs/>
        </w:rPr>
      </w:pPr>
      <w:r w:rsidRPr="00774912">
        <w:rPr>
          <w:rFonts w:ascii="Times" w:hAnsi="Times"/>
          <w:bCs/>
        </w:rPr>
        <w:t xml:space="preserve">At the end of the semester the student / student pair will be asked to define an intended use, to </w:t>
      </w:r>
      <w:bookmarkStart w:id="1" w:name="_Hlk85018254"/>
      <w:r w:rsidRPr="00774912">
        <w:rPr>
          <w:rFonts w:ascii="Times" w:hAnsi="Times"/>
          <w:bCs/>
        </w:rPr>
        <w:t xml:space="preserve">determine the applicable regulatory route in the USA, and </w:t>
      </w:r>
      <w:r w:rsidR="00E54E89">
        <w:rPr>
          <w:rFonts w:ascii="Times" w:hAnsi="Times"/>
          <w:bCs/>
        </w:rPr>
        <w:t xml:space="preserve">to </w:t>
      </w:r>
      <w:r w:rsidRPr="00774912">
        <w:rPr>
          <w:rFonts w:ascii="Times" w:hAnsi="Times"/>
          <w:bCs/>
        </w:rPr>
        <w:t>define what is required to allow the</w:t>
      </w:r>
      <w:r w:rsidR="00E54E89">
        <w:rPr>
          <w:rFonts w:ascii="Times" w:hAnsi="Times"/>
          <w:bCs/>
        </w:rPr>
        <w:t xml:space="preserve"> initiation and</w:t>
      </w:r>
      <w:r w:rsidRPr="00774912">
        <w:rPr>
          <w:rFonts w:ascii="Times" w:hAnsi="Times"/>
          <w:bCs/>
        </w:rPr>
        <w:t xml:space="preserve"> perform</w:t>
      </w:r>
      <w:r w:rsidR="00E54E89">
        <w:rPr>
          <w:rFonts w:ascii="Times" w:hAnsi="Times"/>
          <w:bCs/>
        </w:rPr>
        <w:t>ance of</w:t>
      </w:r>
      <w:r w:rsidRPr="00774912">
        <w:rPr>
          <w:rFonts w:ascii="Times" w:hAnsi="Times"/>
          <w:bCs/>
        </w:rPr>
        <w:t xml:space="preserve"> a proof-of-concept study</w:t>
      </w:r>
      <w:bookmarkEnd w:id="1"/>
      <w:r w:rsidRPr="00774912">
        <w:rPr>
          <w:rFonts w:ascii="Times" w:hAnsi="Times"/>
          <w:bCs/>
        </w:rPr>
        <w:t>.</w:t>
      </w:r>
      <w:r w:rsidRPr="00EE2692">
        <w:rPr>
          <w:rFonts w:ascii="Times" w:hAnsi="Times"/>
          <w:bCs/>
        </w:rPr>
        <w:t xml:space="preserve"> </w:t>
      </w:r>
      <w:r>
        <w:rPr>
          <w:rFonts w:ascii="Times" w:hAnsi="Times"/>
          <w:bCs/>
        </w:rPr>
        <w:t xml:space="preserve"> </w:t>
      </w:r>
    </w:p>
    <w:p w14:paraId="7F97076B" w14:textId="77777777" w:rsidR="00774912" w:rsidRPr="00EE2692" w:rsidRDefault="00774912" w:rsidP="00774912">
      <w:pPr>
        <w:pStyle w:val="WPNormal"/>
        <w:rPr>
          <w:rFonts w:ascii="Times" w:hAnsi="Times"/>
          <w:bCs/>
        </w:rPr>
      </w:pPr>
    </w:p>
    <w:p w14:paraId="6D4B2553" w14:textId="77777777" w:rsidR="00F1128A" w:rsidRPr="00B353C4" w:rsidRDefault="00F1128A" w:rsidP="00634A75">
      <w:pPr>
        <w:pStyle w:val="WPNormal"/>
        <w:rPr>
          <w:rFonts w:ascii="Times" w:hAnsi="Times"/>
          <w:bCs/>
          <w:highlight w:val="yellow"/>
        </w:rPr>
      </w:pPr>
    </w:p>
    <w:p w14:paraId="76E3DC7B" w14:textId="77777777" w:rsidR="00B7568B" w:rsidRPr="00B353C4" w:rsidRDefault="00B7568B" w:rsidP="00634A75">
      <w:pPr>
        <w:pStyle w:val="WPNormal"/>
        <w:rPr>
          <w:rFonts w:ascii="Times" w:hAnsi="Times"/>
          <w:b/>
          <w:highlight w:val="yellow"/>
        </w:rPr>
      </w:pPr>
    </w:p>
    <w:p w14:paraId="1E8E5A4A" w14:textId="6C4FBE54" w:rsidR="00B7568B" w:rsidRPr="00774912" w:rsidRDefault="00B7568B" w:rsidP="00634A75">
      <w:pPr>
        <w:pStyle w:val="WPNormal"/>
        <w:rPr>
          <w:rFonts w:ascii="Times" w:hAnsi="Times"/>
          <w:b/>
          <w:color w:val="000000" w:themeColor="text1"/>
        </w:rPr>
      </w:pPr>
      <w:r w:rsidRPr="00774912">
        <w:rPr>
          <w:rFonts w:ascii="Times" w:hAnsi="Times"/>
          <w:b/>
          <w:color w:val="000000" w:themeColor="text1"/>
        </w:rPr>
        <w:t>Course Requirements</w:t>
      </w:r>
      <w:r w:rsidRPr="00774912">
        <w:rPr>
          <w:rFonts w:ascii="Times New Roman" w:hAnsi="Times New Roman"/>
          <w:b/>
          <w:color w:val="000000" w:themeColor="text1"/>
          <w:szCs w:val="24"/>
          <w:lang w:bidi="he-IL"/>
        </w:rPr>
        <w:t xml:space="preserve"> &amp; </w:t>
      </w:r>
      <w:r w:rsidRPr="00774912">
        <w:rPr>
          <w:rFonts w:ascii="Times" w:hAnsi="Times"/>
          <w:b/>
          <w:color w:val="000000" w:themeColor="text1"/>
        </w:rPr>
        <w:t>Course</w:t>
      </w:r>
      <w:r w:rsidRPr="00774912">
        <w:rPr>
          <w:rFonts w:ascii="Times New Roman" w:hAnsi="Times New Roman"/>
          <w:b/>
          <w:color w:val="000000" w:themeColor="text1"/>
          <w:szCs w:val="24"/>
          <w:lang w:bidi="he-IL"/>
        </w:rPr>
        <w:t xml:space="preserve"> Policies</w:t>
      </w:r>
    </w:p>
    <w:p w14:paraId="562A893F" w14:textId="76CF7A31" w:rsidR="00B7568B" w:rsidRDefault="00E000EF" w:rsidP="006F3755">
      <w:pPr>
        <w:pStyle w:val="WPNormal"/>
        <w:rPr>
          <w:rFonts w:ascii="Times" w:hAnsi="Times"/>
          <w:bCs/>
        </w:rPr>
      </w:pPr>
      <w:r>
        <w:rPr>
          <w:rFonts w:ascii="Times" w:hAnsi="Times"/>
          <w:bCs/>
        </w:rPr>
        <w:t>Lecture slides will be posted via the course</w:t>
      </w:r>
      <w:r w:rsidR="00E54E89">
        <w:rPr>
          <w:rFonts w:ascii="Times" w:hAnsi="Times"/>
          <w:bCs/>
        </w:rPr>
        <w:t>'s</w:t>
      </w:r>
      <w:r>
        <w:rPr>
          <w:rFonts w:ascii="Times" w:hAnsi="Times"/>
          <w:bCs/>
        </w:rPr>
        <w:t xml:space="preserve"> </w:t>
      </w:r>
      <w:r w:rsidR="0085690E">
        <w:rPr>
          <w:rFonts w:ascii="Times" w:hAnsi="Times"/>
          <w:bCs/>
        </w:rPr>
        <w:t>M</w:t>
      </w:r>
      <w:r>
        <w:rPr>
          <w:rFonts w:ascii="Times" w:hAnsi="Times"/>
          <w:bCs/>
        </w:rPr>
        <w:t xml:space="preserve">oodle website. </w:t>
      </w:r>
    </w:p>
    <w:p w14:paraId="48ED8153" w14:textId="77777777" w:rsidR="0071492B" w:rsidRDefault="0071492B" w:rsidP="006F3755">
      <w:pPr>
        <w:pStyle w:val="WPNormal"/>
        <w:rPr>
          <w:rFonts w:ascii="Times" w:hAnsi="Times"/>
          <w:bCs/>
        </w:rPr>
      </w:pPr>
    </w:p>
    <w:p w14:paraId="59A895F0" w14:textId="621C8F25" w:rsidR="00E000EF" w:rsidRDefault="00E000EF" w:rsidP="006F3755">
      <w:pPr>
        <w:pStyle w:val="WPNormal"/>
        <w:rPr>
          <w:rFonts w:ascii="Times" w:hAnsi="Times"/>
          <w:bCs/>
        </w:rPr>
      </w:pPr>
      <w:r>
        <w:rPr>
          <w:rFonts w:ascii="Times" w:hAnsi="Times"/>
          <w:bCs/>
        </w:rPr>
        <w:t xml:space="preserve">Students are encouraged (but not obliged) to prepare a short presentation (up to </w:t>
      </w:r>
      <w:r w:rsidR="00E54E89">
        <w:rPr>
          <w:rFonts w:ascii="Times" w:hAnsi="Times"/>
          <w:bCs/>
        </w:rPr>
        <w:t>4 slides</w:t>
      </w:r>
      <w:r>
        <w:rPr>
          <w:rFonts w:ascii="Times" w:hAnsi="Times"/>
          <w:bCs/>
        </w:rPr>
        <w:t>) of the product they have chosen and their analysis of the regulatory route to market and to present this presentation to the class during the last two lectures</w:t>
      </w:r>
      <w:r w:rsidR="00E54E89">
        <w:rPr>
          <w:rFonts w:ascii="Times" w:hAnsi="Times"/>
          <w:bCs/>
        </w:rPr>
        <w:t xml:space="preserve"> (up to 10 minutes of presentation)</w:t>
      </w:r>
      <w:r>
        <w:rPr>
          <w:rFonts w:ascii="Times" w:hAnsi="Times"/>
          <w:bCs/>
        </w:rPr>
        <w:t>. While not obligatory, the feedback received from classmates and from the lecturer</w:t>
      </w:r>
      <w:r w:rsidR="00491EE5">
        <w:rPr>
          <w:rFonts w:ascii="Times" w:hAnsi="Times"/>
          <w:bCs/>
        </w:rPr>
        <w:t>s</w:t>
      </w:r>
      <w:r>
        <w:rPr>
          <w:rFonts w:ascii="Times" w:hAnsi="Times"/>
          <w:bCs/>
        </w:rPr>
        <w:t xml:space="preserve"> could b</w:t>
      </w:r>
      <w:r w:rsidR="0071492B">
        <w:rPr>
          <w:rFonts w:ascii="Times" w:hAnsi="Times"/>
          <w:bCs/>
        </w:rPr>
        <w:t>e highly beneficial.</w:t>
      </w:r>
    </w:p>
    <w:p w14:paraId="23687573" w14:textId="1BCF0EAF" w:rsidR="00E000EF" w:rsidRDefault="0071492B" w:rsidP="006F3755">
      <w:pPr>
        <w:pStyle w:val="WPNormal"/>
        <w:rPr>
          <w:rFonts w:ascii="Times" w:hAnsi="Times"/>
          <w:bCs/>
        </w:rPr>
      </w:pPr>
      <w:r>
        <w:rPr>
          <w:rFonts w:ascii="Times" w:hAnsi="Times"/>
          <w:bCs/>
        </w:rPr>
        <w:lastRenderedPageBreak/>
        <w:br/>
        <w:t xml:space="preserve">Students are required to participate </w:t>
      </w:r>
      <w:r w:rsidR="00E000EF">
        <w:rPr>
          <w:rFonts w:ascii="Times" w:hAnsi="Times"/>
          <w:bCs/>
        </w:rPr>
        <w:t xml:space="preserve">in at least 80% of lectures. </w:t>
      </w:r>
      <w:r w:rsidRPr="0071492B">
        <w:t xml:space="preserve"> </w:t>
      </w:r>
      <w:r w:rsidRPr="0071492B">
        <w:rPr>
          <w:rFonts w:ascii="Times" w:hAnsi="Times"/>
          <w:bCs/>
        </w:rPr>
        <w:t xml:space="preserve">Necessary absences must be discussed with the </w:t>
      </w:r>
      <w:r>
        <w:rPr>
          <w:rFonts w:ascii="Times" w:hAnsi="Times"/>
          <w:bCs/>
        </w:rPr>
        <w:t>lecturer</w:t>
      </w:r>
      <w:r w:rsidRPr="0071492B">
        <w:rPr>
          <w:rFonts w:ascii="Times" w:hAnsi="Times"/>
          <w:bCs/>
        </w:rPr>
        <w:t xml:space="preserve"> and approved in advance</w:t>
      </w:r>
      <w:r>
        <w:rPr>
          <w:rFonts w:ascii="Times" w:hAnsi="Times"/>
          <w:bCs/>
        </w:rPr>
        <w:t>.</w:t>
      </w:r>
    </w:p>
    <w:p w14:paraId="5E9D8D46" w14:textId="07DF8098" w:rsidR="0014634C" w:rsidRDefault="0014634C" w:rsidP="00634A75">
      <w:pPr>
        <w:pStyle w:val="WPNormal"/>
        <w:rPr>
          <w:rFonts w:ascii="Times" w:hAnsi="Times"/>
          <w:b/>
        </w:rPr>
      </w:pPr>
    </w:p>
    <w:p w14:paraId="245509AF" w14:textId="77777777" w:rsidR="006F3755" w:rsidRDefault="006F3755" w:rsidP="00634A75">
      <w:pPr>
        <w:pStyle w:val="WPNormal"/>
        <w:rPr>
          <w:rFonts w:ascii="Times" w:hAnsi="Times"/>
          <w:b/>
        </w:rPr>
      </w:pPr>
    </w:p>
    <w:p w14:paraId="5D419A15" w14:textId="77777777" w:rsidR="00B7568B" w:rsidRDefault="00B7568B" w:rsidP="00634A75">
      <w:pPr>
        <w:pStyle w:val="WPNormal"/>
        <w:rPr>
          <w:rFonts w:ascii="Times" w:hAnsi="Times"/>
          <w:b/>
        </w:rPr>
      </w:pPr>
    </w:p>
    <w:p w14:paraId="38C107CC" w14:textId="1F4085A0" w:rsidR="00F1128A" w:rsidRPr="00670907" w:rsidRDefault="00F1128A" w:rsidP="00634A75">
      <w:pPr>
        <w:pStyle w:val="WPNormal"/>
        <w:rPr>
          <w:rFonts w:ascii="Times" w:hAnsi="Times"/>
          <w:b/>
        </w:rPr>
      </w:pPr>
      <w:r>
        <w:rPr>
          <w:rFonts w:ascii="Times" w:hAnsi="Times"/>
          <w:b/>
        </w:rPr>
        <w:t xml:space="preserve">Accommodation for </w:t>
      </w:r>
      <w:r w:rsidRPr="00670907">
        <w:rPr>
          <w:rFonts w:ascii="Times" w:hAnsi="Times"/>
          <w:b/>
        </w:rPr>
        <w:t>Students with special needs</w:t>
      </w:r>
      <w:r w:rsidR="00CA1ADD">
        <w:rPr>
          <w:rFonts w:ascii="Times" w:hAnsi="Times"/>
          <w:b/>
        </w:rPr>
        <w:t xml:space="preserve"> are available.</w:t>
      </w:r>
    </w:p>
    <w:p w14:paraId="6054F3BA" w14:textId="77777777" w:rsidR="006D7DEB" w:rsidRPr="001B04FF" w:rsidRDefault="006D7DEB" w:rsidP="00634A75">
      <w:pPr>
        <w:pStyle w:val="WPNormal"/>
        <w:rPr>
          <w:rFonts w:ascii="Times" w:hAnsi="Times"/>
          <w:b/>
        </w:rPr>
      </w:pPr>
    </w:p>
    <w:p w14:paraId="3616FF83" w14:textId="77777777" w:rsidR="00E3529C" w:rsidRDefault="00E3529C" w:rsidP="00634A75">
      <w:pPr>
        <w:pStyle w:val="WPNormal"/>
        <w:rPr>
          <w:rFonts w:ascii="Times" w:hAnsi="Times"/>
          <w:b/>
        </w:rPr>
      </w:pPr>
    </w:p>
    <w:p w14:paraId="2B550F5F" w14:textId="77777777" w:rsidR="0014634C" w:rsidRDefault="0014634C" w:rsidP="00634A75">
      <w:pPr>
        <w:pStyle w:val="WPNormal"/>
        <w:rPr>
          <w:rFonts w:ascii="Times" w:hAnsi="Times"/>
          <w:b/>
        </w:rPr>
      </w:pPr>
    </w:p>
    <w:p w14:paraId="545BCAFE" w14:textId="77777777" w:rsidR="00C876E6" w:rsidRPr="009B00F0" w:rsidRDefault="00AA61C7" w:rsidP="00634A75">
      <w:pPr>
        <w:pStyle w:val="WPNormal"/>
        <w:rPr>
          <w:rFonts w:ascii="Times" w:hAnsi="Times"/>
          <w:b/>
        </w:rPr>
      </w:pPr>
      <w:r w:rsidRPr="008F28BD">
        <w:rPr>
          <w:rFonts w:ascii="Times" w:hAnsi="Times"/>
          <w:b/>
        </w:rPr>
        <w:t>Text book(s) and/or other materials</w:t>
      </w:r>
    </w:p>
    <w:p w14:paraId="60874F68" w14:textId="6D613678" w:rsidR="00C876E6" w:rsidRDefault="00C876E6" w:rsidP="00634A75">
      <w:pPr>
        <w:pStyle w:val="WPNormal"/>
        <w:ind w:left="360"/>
        <w:rPr>
          <w:rFonts w:ascii="Times" w:hAnsi="Times"/>
          <w:bCs/>
        </w:rPr>
      </w:pPr>
    </w:p>
    <w:p w14:paraId="2503CF77" w14:textId="77777777" w:rsidR="00E54E89" w:rsidRDefault="008873AB" w:rsidP="00E54E89">
      <w:pPr>
        <w:pStyle w:val="WPNormal"/>
        <w:rPr>
          <w:rFonts w:ascii="Times" w:hAnsi="Times"/>
          <w:bCs/>
        </w:rPr>
      </w:pPr>
      <w:r>
        <w:rPr>
          <w:rFonts w:ascii="Times" w:hAnsi="Times"/>
          <w:bCs/>
        </w:rPr>
        <w:t>As part of this course, students will become familiarized with the basic types of documents that govern the regulation of medical products and of clinical investigations, including both laws and regulations, the guidance documents issued by regulators, and applicable international standards.</w:t>
      </w:r>
      <w:r w:rsidR="00E54E89">
        <w:rPr>
          <w:rFonts w:ascii="Times" w:hAnsi="Times"/>
          <w:bCs/>
        </w:rPr>
        <w:t xml:space="preserve"> </w:t>
      </w:r>
    </w:p>
    <w:p w14:paraId="5305A077" w14:textId="77777777" w:rsidR="00E54E89" w:rsidRDefault="00E54E89" w:rsidP="00E54E89">
      <w:pPr>
        <w:pStyle w:val="WPNormal"/>
        <w:rPr>
          <w:rFonts w:ascii="Times" w:hAnsi="Times"/>
          <w:bCs/>
        </w:rPr>
      </w:pPr>
    </w:p>
    <w:p w14:paraId="646008BE" w14:textId="382998AF" w:rsidR="008873AB" w:rsidRDefault="008873AB" w:rsidP="00E54E89">
      <w:pPr>
        <w:pStyle w:val="WPNormal"/>
        <w:rPr>
          <w:rFonts w:ascii="Times" w:hAnsi="Times"/>
          <w:bCs/>
        </w:rPr>
      </w:pPr>
      <w:r>
        <w:rPr>
          <w:rFonts w:ascii="Times" w:hAnsi="Times"/>
          <w:bCs/>
        </w:rPr>
        <w:t xml:space="preserve">Following are </w:t>
      </w:r>
      <w:r w:rsidR="00E54E89">
        <w:rPr>
          <w:rFonts w:ascii="Times" w:hAnsi="Times"/>
          <w:bCs/>
        </w:rPr>
        <w:t xml:space="preserve">some of </w:t>
      </w:r>
      <w:r>
        <w:rPr>
          <w:rFonts w:ascii="Times" w:hAnsi="Times"/>
          <w:bCs/>
        </w:rPr>
        <w:t>the documents that will be mentioned and discussed during the course:</w:t>
      </w:r>
    </w:p>
    <w:p w14:paraId="2ED354EE" w14:textId="5C160C4B" w:rsidR="00CE5A3D" w:rsidRDefault="00CE5A3D" w:rsidP="00E54E89">
      <w:pPr>
        <w:pStyle w:val="WPNormal"/>
        <w:rPr>
          <w:rFonts w:ascii="Times" w:hAnsi="Times"/>
          <w:bCs/>
        </w:rPr>
      </w:pPr>
    </w:p>
    <w:p w14:paraId="139AFB6E" w14:textId="77777777" w:rsidR="00CE5A3D" w:rsidRDefault="00CE5A3D" w:rsidP="00CE5A3D">
      <w:pPr>
        <w:pStyle w:val="WPNormal"/>
        <w:ind w:left="360"/>
        <w:rPr>
          <w:rFonts w:ascii="Times" w:hAnsi="Times"/>
          <w:bCs/>
          <w:u w:val="single"/>
        </w:rPr>
      </w:pPr>
      <w:r>
        <w:rPr>
          <w:rFonts w:ascii="Times" w:hAnsi="Times"/>
          <w:bCs/>
        </w:rPr>
        <w:t xml:space="preserve"> </w:t>
      </w:r>
      <w:r w:rsidRPr="00CE5A3D">
        <w:rPr>
          <w:rFonts w:ascii="Times" w:hAnsi="Times"/>
          <w:bCs/>
          <w:u w:val="single"/>
        </w:rPr>
        <w:t>Drug Discovery &amp; Development Literature</w:t>
      </w:r>
    </w:p>
    <w:p w14:paraId="33750839" w14:textId="07B0F9DC" w:rsidR="005C7CAF" w:rsidRDefault="004039BC" w:rsidP="004039BC">
      <w:pPr>
        <w:pStyle w:val="WPNormal"/>
        <w:numPr>
          <w:ilvl w:val="0"/>
          <w:numId w:val="31"/>
        </w:numPr>
        <w:rPr>
          <w:rFonts w:ascii="Times" w:hAnsi="Times"/>
          <w:bCs/>
        </w:rPr>
      </w:pPr>
      <w:r w:rsidRPr="004039BC">
        <w:rPr>
          <w:rFonts w:ascii="Times" w:hAnsi="Times"/>
          <w:bCs/>
        </w:rPr>
        <w:t xml:space="preserve">Cook, D., Brown, D., Alexander, R. et al. Lessons learned from the fate of AstraZeneca's drug pipeline: a five-dimensional framework. Nat Rev Drug </w:t>
      </w:r>
      <w:proofErr w:type="spellStart"/>
      <w:r w:rsidRPr="004039BC">
        <w:rPr>
          <w:rFonts w:ascii="Times" w:hAnsi="Times"/>
          <w:bCs/>
        </w:rPr>
        <w:t>Discov</w:t>
      </w:r>
      <w:proofErr w:type="spellEnd"/>
      <w:r w:rsidRPr="004039BC">
        <w:rPr>
          <w:rFonts w:ascii="Times" w:hAnsi="Times"/>
          <w:bCs/>
        </w:rPr>
        <w:t xml:space="preserve"> 13, 419–431 (2014).</w:t>
      </w:r>
    </w:p>
    <w:p w14:paraId="2B6E2E56" w14:textId="1D7F0DC7" w:rsidR="004039BC" w:rsidRDefault="004039BC" w:rsidP="004039BC">
      <w:pPr>
        <w:pStyle w:val="WPNormal"/>
        <w:numPr>
          <w:ilvl w:val="0"/>
          <w:numId w:val="31"/>
        </w:numPr>
        <w:rPr>
          <w:rFonts w:ascii="Times" w:hAnsi="Times"/>
          <w:bCs/>
        </w:rPr>
      </w:pPr>
      <w:r w:rsidRPr="004039BC">
        <w:rPr>
          <w:rFonts w:ascii="Times" w:hAnsi="Times"/>
          <w:bCs/>
        </w:rPr>
        <w:t xml:space="preserve">Morgan P, Van Der Graaf PH, Arrowsmith J, Feltner DE, Drummond KS, Wegner CD, Street SD. Can the flow of medicines be improved? Fundamental pharmacokinetic and pharmacological principles toward improving Phase II survival. Drug </w:t>
      </w:r>
      <w:proofErr w:type="spellStart"/>
      <w:r w:rsidRPr="004039BC">
        <w:rPr>
          <w:rFonts w:ascii="Times" w:hAnsi="Times"/>
          <w:bCs/>
        </w:rPr>
        <w:t>Discov</w:t>
      </w:r>
      <w:proofErr w:type="spellEnd"/>
      <w:r w:rsidRPr="004039BC">
        <w:rPr>
          <w:rFonts w:ascii="Times" w:hAnsi="Times"/>
          <w:bCs/>
        </w:rPr>
        <w:t xml:space="preserve"> Today. 2012 May;17(9-10):419-24. </w:t>
      </w:r>
    </w:p>
    <w:p w14:paraId="1F11D770" w14:textId="22A183B5" w:rsidR="004039BC" w:rsidRDefault="00A12E81" w:rsidP="004039BC">
      <w:pPr>
        <w:pStyle w:val="WPNormal"/>
        <w:numPr>
          <w:ilvl w:val="0"/>
          <w:numId w:val="31"/>
        </w:numPr>
        <w:rPr>
          <w:rFonts w:ascii="Times" w:hAnsi="Times"/>
          <w:bCs/>
        </w:rPr>
      </w:pPr>
      <w:hyperlink r:id="rId13" w:history="1">
        <w:r w:rsidR="004039BC" w:rsidRPr="00E92FC7">
          <w:rPr>
            <w:rStyle w:val="Hyperlink"/>
            <w:rFonts w:ascii="Times" w:hAnsi="Times"/>
            <w:bCs/>
          </w:rPr>
          <w:t>http://csdd.tufts.edu/white-papers</w:t>
        </w:r>
      </w:hyperlink>
      <w:r w:rsidR="004039BC">
        <w:rPr>
          <w:rFonts w:ascii="Times" w:hAnsi="Times"/>
          <w:bCs/>
        </w:rPr>
        <w:t xml:space="preserve"> </w:t>
      </w:r>
      <w:r w:rsidR="00D560ED">
        <w:rPr>
          <w:rFonts w:ascii="Times" w:hAnsi="Times"/>
          <w:bCs/>
        </w:rPr>
        <w:t>T</w:t>
      </w:r>
      <w:r w:rsidR="004039BC" w:rsidRPr="004039BC">
        <w:rPr>
          <w:rFonts w:ascii="Times" w:hAnsi="Times"/>
          <w:bCs/>
        </w:rPr>
        <w:t>ufts CSDD produces authoritative White Papers to highlight current thinking on critical drug development issues. White Papers present findings and insights from Tufts Center analyses, as well as detailed reviews of roundtable discussions and forums hosted by CSDD.</w:t>
      </w:r>
    </w:p>
    <w:p w14:paraId="67C26652" w14:textId="77777777" w:rsidR="004039BC" w:rsidRPr="004039BC" w:rsidRDefault="004039BC" w:rsidP="00D560ED">
      <w:pPr>
        <w:pStyle w:val="WPNormal"/>
        <w:ind w:left="1080"/>
        <w:rPr>
          <w:rFonts w:ascii="Times" w:hAnsi="Times"/>
          <w:bCs/>
        </w:rPr>
      </w:pPr>
    </w:p>
    <w:p w14:paraId="27724EE1" w14:textId="716B6160" w:rsidR="008873AB" w:rsidRPr="00720D7A" w:rsidRDefault="00F21A4D" w:rsidP="008873AB">
      <w:pPr>
        <w:pStyle w:val="WPNormal"/>
        <w:ind w:left="360"/>
        <w:rPr>
          <w:rFonts w:ascii="Times" w:hAnsi="Times"/>
          <w:bCs/>
          <w:u w:val="single"/>
        </w:rPr>
      </w:pPr>
      <w:r w:rsidRPr="00720D7A">
        <w:rPr>
          <w:rFonts w:ascii="Times" w:hAnsi="Times" w:hint="cs"/>
          <w:bCs/>
          <w:u w:val="single"/>
        </w:rPr>
        <w:t>C</w:t>
      </w:r>
      <w:r w:rsidRPr="00720D7A">
        <w:rPr>
          <w:rFonts w:ascii="Times" w:hAnsi="Times"/>
          <w:bCs/>
          <w:u w:val="single"/>
        </w:rPr>
        <w:t>linical Investigations</w:t>
      </w:r>
      <w:r w:rsidR="008873AB" w:rsidRPr="00720D7A">
        <w:rPr>
          <w:rFonts w:ascii="Times" w:hAnsi="Times"/>
          <w:bCs/>
          <w:u w:val="single"/>
        </w:rPr>
        <w:t xml:space="preserve"> – </w:t>
      </w:r>
    </w:p>
    <w:p w14:paraId="19E17C61" w14:textId="7E0ED3BF" w:rsidR="008873AB" w:rsidRPr="004039BC" w:rsidRDefault="00F21A4D" w:rsidP="00F21A4D">
      <w:pPr>
        <w:pStyle w:val="WPNormal"/>
        <w:numPr>
          <w:ilvl w:val="0"/>
          <w:numId w:val="26"/>
        </w:numPr>
        <w:bidi/>
        <w:rPr>
          <w:rFonts w:ascii="Times" w:hAnsi="Times"/>
          <w:bCs/>
        </w:rPr>
      </w:pPr>
      <w:r w:rsidRPr="004039BC">
        <w:rPr>
          <w:rFonts w:ascii="Times" w:hAnsi="Times" w:hint="cs"/>
          <w:b/>
          <w:sz w:val="28"/>
          <w:szCs w:val="22"/>
          <w:rtl/>
          <w:lang w:bidi="he-IL"/>
        </w:rPr>
        <w:t>נוהל ניסויים רפואיים בני אדם (נוהל 14 של אגף הרוקחות).</w:t>
      </w:r>
    </w:p>
    <w:p w14:paraId="7726C9DE" w14:textId="06DD0C49" w:rsidR="00F21A4D" w:rsidRDefault="00F21A4D" w:rsidP="00F21A4D">
      <w:pPr>
        <w:pStyle w:val="WPNormal"/>
        <w:numPr>
          <w:ilvl w:val="0"/>
          <w:numId w:val="26"/>
        </w:numPr>
        <w:rPr>
          <w:rFonts w:ascii="Times" w:hAnsi="Times"/>
          <w:bCs/>
        </w:rPr>
      </w:pPr>
      <w:r w:rsidRPr="00F21A4D">
        <w:rPr>
          <w:rFonts w:ascii="Times" w:hAnsi="Times"/>
          <w:bCs/>
        </w:rPr>
        <w:t>W</w:t>
      </w:r>
      <w:r>
        <w:rPr>
          <w:rFonts w:ascii="Times" w:hAnsi="Times"/>
          <w:bCs/>
        </w:rPr>
        <w:t>MA</w:t>
      </w:r>
      <w:r w:rsidRPr="00F21A4D">
        <w:rPr>
          <w:rFonts w:ascii="Times" w:hAnsi="Times"/>
          <w:bCs/>
        </w:rPr>
        <w:t xml:space="preserve"> </w:t>
      </w:r>
      <w:r>
        <w:rPr>
          <w:rFonts w:ascii="Times" w:hAnsi="Times"/>
          <w:bCs/>
        </w:rPr>
        <w:t>D</w:t>
      </w:r>
      <w:r w:rsidRPr="00F21A4D">
        <w:rPr>
          <w:rFonts w:ascii="Times" w:hAnsi="Times"/>
          <w:bCs/>
        </w:rPr>
        <w:t xml:space="preserve">eclaration of </w:t>
      </w:r>
      <w:r>
        <w:rPr>
          <w:rFonts w:ascii="Times" w:hAnsi="Times"/>
          <w:bCs/>
        </w:rPr>
        <w:t>H</w:t>
      </w:r>
      <w:r w:rsidRPr="00F21A4D">
        <w:rPr>
          <w:rFonts w:ascii="Times" w:hAnsi="Times"/>
          <w:bCs/>
        </w:rPr>
        <w:t>elsinki – ethical principles for medical research involving human subjects</w:t>
      </w:r>
      <w:r w:rsidR="00491EE5">
        <w:rPr>
          <w:rFonts w:ascii="Times" w:hAnsi="Times"/>
          <w:bCs/>
        </w:rPr>
        <w:t>.</w:t>
      </w:r>
    </w:p>
    <w:p w14:paraId="35BE0FD3" w14:textId="692D047D" w:rsidR="00F21A4D" w:rsidRDefault="00F21A4D" w:rsidP="00F21A4D">
      <w:pPr>
        <w:pStyle w:val="WPNormal"/>
        <w:numPr>
          <w:ilvl w:val="0"/>
          <w:numId w:val="26"/>
        </w:numPr>
        <w:rPr>
          <w:rFonts w:ascii="Times" w:hAnsi="Times"/>
          <w:bCs/>
        </w:rPr>
      </w:pPr>
      <w:r>
        <w:rPr>
          <w:rFonts w:ascii="Times" w:hAnsi="Times"/>
          <w:bCs/>
        </w:rPr>
        <w:t xml:space="preserve">21 CFR Part </w:t>
      </w:r>
      <w:r w:rsidR="005C7CAF">
        <w:rPr>
          <w:rFonts w:ascii="Times" w:hAnsi="Times"/>
          <w:bCs/>
        </w:rPr>
        <w:t>50</w:t>
      </w:r>
      <w:r>
        <w:rPr>
          <w:rFonts w:ascii="Times" w:hAnsi="Times"/>
          <w:bCs/>
        </w:rPr>
        <w:t xml:space="preserve"> Protection of Human Subjects</w:t>
      </w:r>
      <w:r w:rsidR="005C7CAF">
        <w:rPr>
          <w:rFonts w:ascii="Times" w:hAnsi="Times"/>
          <w:bCs/>
        </w:rPr>
        <w:t>; Part 54 Financial Disclosure by Clinical Investigators</w:t>
      </w:r>
      <w:r w:rsidR="00177B79">
        <w:rPr>
          <w:rFonts w:ascii="Times" w:hAnsi="Times"/>
          <w:bCs/>
        </w:rPr>
        <w:t xml:space="preserve"> and</w:t>
      </w:r>
      <w:r w:rsidR="005C7CAF">
        <w:rPr>
          <w:rFonts w:ascii="Times" w:hAnsi="Times"/>
          <w:bCs/>
        </w:rPr>
        <w:t xml:space="preserve"> Part 56 Institutional Review Boards</w:t>
      </w:r>
      <w:r w:rsidR="00491EE5">
        <w:rPr>
          <w:rFonts w:ascii="Times" w:hAnsi="Times"/>
          <w:bCs/>
        </w:rPr>
        <w:t>.</w:t>
      </w:r>
    </w:p>
    <w:p w14:paraId="4535F995" w14:textId="7F12238C" w:rsidR="00070397" w:rsidRDefault="00070397" w:rsidP="00F21A4D">
      <w:pPr>
        <w:pStyle w:val="WPNormal"/>
        <w:numPr>
          <w:ilvl w:val="0"/>
          <w:numId w:val="26"/>
        </w:numPr>
        <w:rPr>
          <w:rFonts w:ascii="Times" w:hAnsi="Times"/>
          <w:bCs/>
        </w:rPr>
      </w:pPr>
      <w:r>
        <w:rPr>
          <w:rFonts w:ascii="Times" w:hAnsi="Times"/>
          <w:bCs/>
        </w:rPr>
        <w:t xml:space="preserve">ICH E3 </w:t>
      </w:r>
      <w:r w:rsidRPr="00070397">
        <w:rPr>
          <w:rFonts w:ascii="Times" w:hAnsi="Times"/>
          <w:bCs/>
        </w:rPr>
        <w:t xml:space="preserve">Structure and </w:t>
      </w:r>
      <w:r w:rsidR="00E54E89">
        <w:rPr>
          <w:rFonts w:ascii="Times" w:hAnsi="Times"/>
          <w:bCs/>
        </w:rPr>
        <w:t>C</w:t>
      </w:r>
      <w:r w:rsidRPr="00070397">
        <w:rPr>
          <w:rFonts w:ascii="Times" w:hAnsi="Times"/>
          <w:bCs/>
        </w:rPr>
        <w:t xml:space="preserve">ontent of </w:t>
      </w:r>
      <w:r w:rsidR="00E54E89">
        <w:rPr>
          <w:rFonts w:ascii="Times" w:hAnsi="Times"/>
          <w:bCs/>
        </w:rPr>
        <w:t>C</w:t>
      </w:r>
      <w:r w:rsidRPr="00070397">
        <w:rPr>
          <w:rFonts w:ascii="Times" w:hAnsi="Times"/>
          <w:bCs/>
        </w:rPr>
        <w:t xml:space="preserve">linical </w:t>
      </w:r>
      <w:r w:rsidR="00E54E89">
        <w:rPr>
          <w:rFonts w:ascii="Times" w:hAnsi="Times"/>
          <w:bCs/>
        </w:rPr>
        <w:t>S</w:t>
      </w:r>
      <w:r w:rsidRPr="00070397">
        <w:rPr>
          <w:rFonts w:ascii="Times" w:hAnsi="Times"/>
          <w:bCs/>
        </w:rPr>
        <w:t xml:space="preserve">tudy </w:t>
      </w:r>
      <w:r w:rsidR="00E54E89">
        <w:rPr>
          <w:rFonts w:ascii="Times" w:hAnsi="Times"/>
          <w:bCs/>
        </w:rPr>
        <w:t>R</w:t>
      </w:r>
      <w:r w:rsidRPr="00070397">
        <w:rPr>
          <w:rFonts w:ascii="Times" w:hAnsi="Times"/>
          <w:bCs/>
        </w:rPr>
        <w:t>eports</w:t>
      </w:r>
      <w:r w:rsidR="00491EE5">
        <w:rPr>
          <w:rFonts w:ascii="Times" w:hAnsi="Times"/>
          <w:bCs/>
        </w:rPr>
        <w:t>.</w:t>
      </w:r>
    </w:p>
    <w:p w14:paraId="35431BE2" w14:textId="75EAA087" w:rsidR="005C7CAF" w:rsidRDefault="005C7CAF" w:rsidP="00F21A4D">
      <w:pPr>
        <w:pStyle w:val="WPNormal"/>
        <w:numPr>
          <w:ilvl w:val="0"/>
          <w:numId w:val="26"/>
        </w:numPr>
        <w:rPr>
          <w:rFonts w:ascii="Times" w:hAnsi="Times"/>
          <w:bCs/>
        </w:rPr>
      </w:pPr>
      <w:r>
        <w:rPr>
          <w:rFonts w:ascii="Times" w:hAnsi="Times"/>
          <w:bCs/>
        </w:rPr>
        <w:t>ICH E6 (R2) Good Clinical Practice</w:t>
      </w:r>
      <w:r w:rsidR="00491EE5">
        <w:rPr>
          <w:rFonts w:ascii="Times" w:hAnsi="Times"/>
          <w:bCs/>
        </w:rPr>
        <w:t>.</w:t>
      </w:r>
    </w:p>
    <w:p w14:paraId="7F2A6A85" w14:textId="6C973039" w:rsidR="003C45C2" w:rsidRDefault="003C45C2" w:rsidP="00F21A4D">
      <w:pPr>
        <w:pStyle w:val="WPNormal"/>
        <w:numPr>
          <w:ilvl w:val="0"/>
          <w:numId w:val="26"/>
        </w:numPr>
        <w:rPr>
          <w:rFonts w:ascii="Times" w:hAnsi="Times"/>
          <w:bCs/>
        </w:rPr>
      </w:pPr>
      <w:r>
        <w:rPr>
          <w:rFonts w:ascii="Times" w:hAnsi="Times"/>
          <w:bCs/>
        </w:rPr>
        <w:t>ICH E8 General Considerations for Clinical Trials</w:t>
      </w:r>
      <w:r w:rsidR="00491EE5">
        <w:rPr>
          <w:rFonts w:ascii="Times" w:hAnsi="Times"/>
          <w:bCs/>
        </w:rPr>
        <w:t>.</w:t>
      </w:r>
      <w:r>
        <w:rPr>
          <w:rFonts w:ascii="Times" w:hAnsi="Times"/>
          <w:bCs/>
        </w:rPr>
        <w:t xml:space="preserve"> </w:t>
      </w:r>
    </w:p>
    <w:p w14:paraId="5CA8DDAE" w14:textId="7F21FB81" w:rsidR="005C7CAF" w:rsidRDefault="005C7CAF" w:rsidP="00F21A4D">
      <w:pPr>
        <w:pStyle w:val="WPNormal"/>
        <w:numPr>
          <w:ilvl w:val="0"/>
          <w:numId w:val="26"/>
        </w:numPr>
        <w:rPr>
          <w:rFonts w:ascii="Times" w:hAnsi="Times"/>
          <w:bCs/>
        </w:rPr>
      </w:pPr>
      <w:r>
        <w:rPr>
          <w:rFonts w:ascii="Times" w:hAnsi="Times"/>
          <w:bCs/>
        </w:rPr>
        <w:t>ISO 14155:2020 Clinical investigations of medical devices – Good clinical practice</w:t>
      </w:r>
      <w:r w:rsidR="00491EE5">
        <w:rPr>
          <w:rFonts w:ascii="Times" w:hAnsi="Times"/>
          <w:bCs/>
        </w:rPr>
        <w:t>.</w:t>
      </w:r>
      <w:r>
        <w:rPr>
          <w:rFonts w:ascii="Times" w:hAnsi="Times"/>
          <w:bCs/>
        </w:rPr>
        <w:t xml:space="preserve"> </w:t>
      </w:r>
    </w:p>
    <w:p w14:paraId="2466C6A9" w14:textId="3F839FC7" w:rsidR="008873AB" w:rsidRDefault="008873AB" w:rsidP="008873AB">
      <w:pPr>
        <w:pStyle w:val="WPNormal"/>
        <w:ind w:left="360"/>
        <w:rPr>
          <w:rFonts w:ascii="Times" w:hAnsi="Times"/>
          <w:bCs/>
        </w:rPr>
      </w:pPr>
    </w:p>
    <w:p w14:paraId="37957188" w14:textId="69AC01E3" w:rsidR="00F21A4D" w:rsidRPr="00F21A4D" w:rsidRDefault="00F21A4D" w:rsidP="008873AB">
      <w:pPr>
        <w:pStyle w:val="WPNormal"/>
        <w:ind w:left="360"/>
        <w:rPr>
          <w:rFonts w:ascii="Times" w:hAnsi="Times"/>
          <w:bCs/>
          <w:u w:val="single"/>
        </w:rPr>
      </w:pPr>
      <w:r w:rsidRPr="00F21A4D">
        <w:rPr>
          <w:rFonts w:ascii="Times" w:hAnsi="Times"/>
          <w:bCs/>
          <w:u w:val="single"/>
        </w:rPr>
        <w:t>Regulation of Drugs</w:t>
      </w:r>
      <w:r w:rsidR="008F28BD">
        <w:rPr>
          <w:rFonts w:ascii="Times" w:hAnsi="Times"/>
          <w:bCs/>
          <w:u w:val="single"/>
        </w:rPr>
        <w:t xml:space="preserve"> and Biologics</w:t>
      </w:r>
      <w:r w:rsidR="008D61A5">
        <w:rPr>
          <w:rFonts w:ascii="Times" w:hAnsi="Times"/>
          <w:bCs/>
          <w:u w:val="single"/>
        </w:rPr>
        <w:t xml:space="preserve"> </w:t>
      </w:r>
      <w:r w:rsidRPr="00F21A4D">
        <w:rPr>
          <w:rFonts w:ascii="Times" w:hAnsi="Times"/>
          <w:bCs/>
          <w:u w:val="single"/>
        </w:rPr>
        <w:t>-</w:t>
      </w:r>
    </w:p>
    <w:p w14:paraId="0B146D28" w14:textId="55BA8D5B" w:rsidR="00B30A4C" w:rsidRPr="00B30A4C" w:rsidRDefault="00B30A4C" w:rsidP="00B30A4C">
      <w:pPr>
        <w:pStyle w:val="WPNormal"/>
        <w:numPr>
          <w:ilvl w:val="0"/>
          <w:numId w:val="26"/>
        </w:numPr>
        <w:bidi/>
        <w:rPr>
          <w:rFonts w:ascii="Times" w:hAnsi="Times"/>
          <w:b/>
          <w:sz w:val="28"/>
          <w:szCs w:val="22"/>
          <w:lang w:bidi="he-IL"/>
        </w:rPr>
      </w:pPr>
      <w:r w:rsidRPr="00B30A4C">
        <w:rPr>
          <w:rFonts w:ascii="Times" w:hAnsi="Times"/>
          <w:b/>
          <w:sz w:val="28"/>
          <w:szCs w:val="22"/>
          <w:rtl/>
          <w:lang w:bidi="he-IL"/>
        </w:rPr>
        <w:t>פקודת הרוקחים [נוסח חדש], תשמ"א-1981</w:t>
      </w:r>
      <w:r w:rsidR="00491EE5">
        <w:rPr>
          <w:rFonts w:ascii="Times" w:hAnsi="Times" w:hint="cs"/>
          <w:b/>
          <w:sz w:val="28"/>
          <w:szCs w:val="22"/>
          <w:rtl/>
          <w:lang w:bidi="he-IL"/>
        </w:rPr>
        <w:t>.</w:t>
      </w:r>
    </w:p>
    <w:p w14:paraId="65A15EA2" w14:textId="70CDC1E2" w:rsidR="00B30A4C" w:rsidRPr="00B30A4C" w:rsidRDefault="00B30A4C" w:rsidP="00B30A4C">
      <w:pPr>
        <w:pStyle w:val="WPNormal"/>
        <w:numPr>
          <w:ilvl w:val="0"/>
          <w:numId w:val="26"/>
        </w:numPr>
        <w:bidi/>
        <w:rPr>
          <w:rFonts w:ascii="Times" w:hAnsi="Times"/>
          <w:b/>
          <w:sz w:val="28"/>
          <w:szCs w:val="22"/>
          <w:lang w:bidi="he-IL"/>
        </w:rPr>
      </w:pPr>
      <w:r w:rsidRPr="00B30A4C">
        <w:rPr>
          <w:rFonts w:ascii="Times" w:hAnsi="Times"/>
          <w:b/>
          <w:sz w:val="28"/>
          <w:szCs w:val="22"/>
          <w:rtl/>
          <w:lang w:bidi="he-IL"/>
        </w:rPr>
        <w:lastRenderedPageBreak/>
        <w:t>תקנות הרוקחים (תכשירים), תשמ"ו-1986</w:t>
      </w:r>
      <w:r w:rsidR="00491EE5">
        <w:rPr>
          <w:rFonts w:ascii="Times" w:hAnsi="Times" w:hint="cs"/>
          <w:b/>
          <w:sz w:val="28"/>
          <w:szCs w:val="22"/>
          <w:rtl/>
          <w:lang w:bidi="he-IL"/>
        </w:rPr>
        <w:t>.</w:t>
      </w:r>
    </w:p>
    <w:p w14:paraId="5F652022" w14:textId="2093F589" w:rsidR="00F21A4D" w:rsidRDefault="00177B79" w:rsidP="00177B79">
      <w:pPr>
        <w:pStyle w:val="WPNormal"/>
        <w:numPr>
          <w:ilvl w:val="0"/>
          <w:numId w:val="28"/>
        </w:numPr>
        <w:rPr>
          <w:rFonts w:ascii="Times" w:hAnsi="Times"/>
          <w:bCs/>
        </w:rPr>
      </w:pPr>
      <w:r>
        <w:rPr>
          <w:rFonts w:ascii="Times" w:hAnsi="Times"/>
          <w:bCs/>
        </w:rPr>
        <w:t>21 CFR Part 314 Applications for FDA Approval to Market a New Drug</w:t>
      </w:r>
      <w:r w:rsidR="00491EE5">
        <w:rPr>
          <w:rFonts w:ascii="Times" w:hAnsi="Times"/>
          <w:bCs/>
        </w:rPr>
        <w:t>.</w:t>
      </w:r>
      <w:r>
        <w:rPr>
          <w:rFonts w:ascii="Times" w:hAnsi="Times"/>
          <w:bCs/>
        </w:rPr>
        <w:t xml:space="preserve"> </w:t>
      </w:r>
    </w:p>
    <w:p w14:paraId="4D05E45E" w14:textId="673F5B1D" w:rsidR="00177B79" w:rsidRDefault="00177B79" w:rsidP="00177B79">
      <w:pPr>
        <w:pStyle w:val="WPNormal"/>
        <w:numPr>
          <w:ilvl w:val="0"/>
          <w:numId w:val="28"/>
        </w:numPr>
        <w:rPr>
          <w:rFonts w:ascii="Times" w:hAnsi="Times"/>
          <w:bCs/>
        </w:rPr>
      </w:pPr>
      <w:r>
        <w:rPr>
          <w:rFonts w:ascii="Times" w:hAnsi="Times"/>
          <w:bCs/>
        </w:rPr>
        <w:t>21 CFR Part 320 Bioavailability and Bioequivalence Requirements</w:t>
      </w:r>
      <w:r w:rsidR="00491EE5">
        <w:rPr>
          <w:rFonts w:ascii="Times" w:hAnsi="Times"/>
          <w:bCs/>
        </w:rPr>
        <w:t>.</w:t>
      </w:r>
      <w:r>
        <w:rPr>
          <w:rFonts w:ascii="Times" w:hAnsi="Times"/>
          <w:bCs/>
        </w:rPr>
        <w:t xml:space="preserve"> </w:t>
      </w:r>
    </w:p>
    <w:p w14:paraId="4D792E84" w14:textId="2C38B45F" w:rsidR="00177B79" w:rsidRDefault="00177B79" w:rsidP="00177B79">
      <w:pPr>
        <w:pStyle w:val="WPNormal"/>
        <w:numPr>
          <w:ilvl w:val="0"/>
          <w:numId w:val="28"/>
        </w:numPr>
        <w:rPr>
          <w:rFonts w:ascii="Times" w:hAnsi="Times"/>
          <w:bCs/>
        </w:rPr>
      </w:pPr>
      <w:r>
        <w:rPr>
          <w:rFonts w:ascii="Times" w:hAnsi="Times"/>
          <w:bCs/>
        </w:rPr>
        <w:t>21 CFR Part 330 Over-The-Counter (OTC) Human Drugs which are Generally Recognized as Safe and Effective and not Misbranded</w:t>
      </w:r>
      <w:r w:rsidR="00491EE5">
        <w:rPr>
          <w:rFonts w:ascii="Times" w:hAnsi="Times"/>
          <w:bCs/>
        </w:rPr>
        <w:t>.</w:t>
      </w:r>
      <w:r>
        <w:rPr>
          <w:rFonts w:ascii="Times" w:hAnsi="Times"/>
          <w:bCs/>
        </w:rPr>
        <w:t xml:space="preserve"> </w:t>
      </w:r>
    </w:p>
    <w:p w14:paraId="76665AFC" w14:textId="166C7329" w:rsidR="008F28BD" w:rsidRPr="008F28BD" w:rsidRDefault="008F28BD" w:rsidP="008F28BD">
      <w:pPr>
        <w:pStyle w:val="aa"/>
        <w:numPr>
          <w:ilvl w:val="0"/>
          <w:numId w:val="28"/>
        </w:numPr>
        <w:rPr>
          <w:bCs/>
        </w:rPr>
      </w:pPr>
      <w:r w:rsidRPr="008F28BD">
        <w:rPr>
          <w:bCs/>
        </w:rPr>
        <w:t>42 USC 262: Regulation of biological products</w:t>
      </w:r>
      <w:r w:rsidR="00491EE5">
        <w:rPr>
          <w:bCs/>
        </w:rPr>
        <w:t>.</w:t>
      </w:r>
    </w:p>
    <w:p w14:paraId="61C04EAF" w14:textId="598AACC8" w:rsidR="00177B79" w:rsidRDefault="00177B79" w:rsidP="00177B79">
      <w:pPr>
        <w:pStyle w:val="WPNormal"/>
        <w:numPr>
          <w:ilvl w:val="0"/>
          <w:numId w:val="28"/>
        </w:numPr>
        <w:rPr>
          <w:rFonts w:ascii="Times" w:hAnsi="Times"/>
          <w:bCs/>
        </w:rPr>
      </w:pPr>
      <w:r>
        <w:rPr>
          <w:rFonts w:ascii="Times" w:hAnsi="Times"/>
          <w:bCs/>
        </w:rPr>
        <w:t>Providing Clinical Evidence of Effectiveness for Human Drug and Biological Products – FDA Guidance of May 1998</w:t>
      </w:r>
      <w:r w:rsidR="00491EE5">
        <w:rPr>
          <w:rFonts w:ascii="Times" w:hAnsi="Times"/>
          <w:bCs/>
        </w:rPr>
        <w:t>.</w:t>
      </w:r>
    </w:p>
    <w:p w14:paraId="1558B65F" w14:textId="000DA4C1" w:rsidR="00177B79" w:rsidRDefault="00177B79" w:rsidP="00177B79">
      <w:pPr>
        <w:pStyle w:val="WPNormal"/>
        <w:numPr>
          <w:ilvl w:val="0"/>
          <w:numId w:val="28"/>
        </w:numPr>
        <w:rPr>
          <w:rFonts w:ascii="Times" w:hAnsi="Times"/>
          <w:bCs/>
        </w:rPr>
      </w:pPr>
      <w:r>
        <w:rPr>
          <w:rFonts w:ascii="Times" w:hAnsi="Times"/>
          <w:bCs/>
        </w:rPr>
        <w:t>Demonstrating Substantial Evidence of Effectiveness for Human Drug and Biological Products – FDA Draft Guidance of December 2019</w:t>
      </w:r>
      <w:r w:rsidR="00491EE5">
        <w:rPr>
          <w:rFonts w:ascii="Times" w:hAnsi="Times"/>
          <w:bCs/>
        </w:rPr>
        <w:t>.</w:t>
      </w:r>
    </w:p>
    <w:p w14:paraId="50705E32" w14:textId="26763B4F" w:rsidR="003C45C2" w:rsidRDefault="003C45C2" w:rsidP="00177B79">
      <w:pPr>
        <w:pStyle w:val="WPNormal"/>
        <w:numPr>
          <w:ilvl w:val="0"/>
          <w:numId w:val="28"/>
        </w:numPr>
        <w:rPr>
          <w:rFonts w:ascii="Times" w:hAnsi="Times"/>
          <w:bCs/>
        </w:rPr>
      </w:pPr>
      <w:r>
        <w:rPr>
          <w:rFonts w:ascii="Times" w:hAnsi="Times"/>
          <w:bCs/>
        </w:rPr>
        <w:t xml:space="preserve">Scientific Considerations in Demonstrating </w:t>
      </w:r>
      <w:proofErr w:type="spellStart"/>
      <w:r>
        <w:rPr>
          <w:rFonts w:ascii="Times" w:hAnsi="Times"/>
          <w:bCs/>
        </w:rPr>
        <w:t>Biosimilarity</w:t>
      </w:r>
      <w:proofErr w:type="spellEnd"/>
      <w:r>
        <w:rPr>
          <w:rFonts w:ascii="Times" w:hAnsi="Times"/>
          <w:bCs/>
        </w:rPr>
        <w:t xml:space="preserve"> to a Reference Product – FDA Guidance of April 2015</w:t>
      </w:r>
      <w:r w:rsidR="00491EE5">
        <w:rPr>
          <w:rFonts w:ascii="Times" w:hAnsi="Times"/>
          <w:bCs/>
        </w:rPr>
        <w:t>.</w:t>
      </w:r>
    </w:p>
    <w:p w14:paraId="077653B3" w14:textId="20CE0C36" w:rsidR="003C45C2" w:rsidRPr="00B30A4C" w:rsidRDefault="003C45C2" w:rsidP="00B7626D">
      <w:pPr>
        <w:pStyle w:val="WPNormal"/>
        <w:numPr>
          <w:ilvl w:val="0"/>
          <w:numId w:val="28"/>
        </w:numPr>
        <w:rPr>
          <w:rFonts w:ascii="Times" w:hAnsi="Times"/>
          <w:bCs/>
        </w:rPr>
      </w:pPr>
      <w:r w:rsidRPr="00B30A4C">
        <w:rPr>
          <w:rFonts w:ascii="Times" w:hAnsi="Times"/>
          <w:bCs/>
        </w:rPr>
        <w:t>Good Pharmacovigilance</w:t>
      </w:r>
      <w:r w:rsidR="00B30A4C" w:rsidRPr="00B30A4C">
        <w:rPr>
          <w:rFonts w:ascii="Times" w:hAnsi="Times"/>
          <w:bCs/>
        </w:rPr>
        <w:t xml:space="preserve"> </w:t>
      </w:r>
      <w:r w:rsidRPr="00B30A4C">
        <w:rPr>
          <w:rFonts w:ascii="Times" w:hAnsi="Times"/>
          <w:bCs/>
        </w:rPr>
        <w:t>Practices and</w:t>
      </w:r>
      <w:r w:rsidR="00B30A4C" w:rsidRPr="00B30A4C">
        <w:rPr>
          <w:rFonts w:ascii="Times" w:hAnsi="Times"/>
          <w:bCs/>
        </w:rPr>
        <w:t xml:space="preserve"> </w:t>
      </w:r>
      <w:r w:rsidRPr="00B30A4C">
        <w:rPr>
          <w:rFonts w:ascii="Times" w:hAnsi="Times"/>
          <w:bCs/>
        </w:rPr>
        <w:t>Pharmacoepidemiologic</w:t>
      </w:r>
      <w:r w:rsidR="00B30A4C" w:rsidRPr="00B30A4C">
        <w:rPr>
          <w:rFonts w:ascii="Times" w:hAnsi="Times"/>
          <w:bCs/>
        </w:rPr>
        <w:t xml:space="preserve"> </w:t>
      </w:r>
      <w:r w:rsidRPr="00B30A4C">
        <w:rPr>
          <w:rFonts w:ascii="Times" w:hAnsi="Times"/>
          <w:bCs/>
        </w:rPr>
        <w:t>Assessment</w:t>
      </w:r>
      <w:r w:rsidR="00B30A4C">
        <w:rPr>
          <w:rFonts w:ascii="Times" w:hAnsi="Times"/>
          <w:bCs/>
        </w:rPr>
        <w:t xml:space="preserve"> – FDA Guidance of March 2005</w:t>
      </w:r>
      <w:r w:rsidR="00491EE5">
        <w:rPr>
          <w:rFonts w:ascii="Times" w:hAnsi="Times"/>
          <w:bCs/>
        </w:rPr>
        <w:t>.</w:t>
      </w:r>
    </w:p>
    <w:p w14:paraId="7C18395A" w14:textId="1BB731CF" w:rsidR="00070397" w:rsidRDefault="00070397" w:rsidP="00177B79">
      <w:pPr>
        <w:pStyle w:val="WPNormal"/>
        <w:numPr>
          <w:ilvl w:val="0"/>
          <w:numId w:val="28"/>
        </w:numPr>
        <w:rPr>
          <w:rFonts w:ascii="Times" w:hAnsi="Times"/>
          <w:bCs/>
        </w:rPr>
      </w:pPr>
      <w:r>
        <w:rPr>
          <w:rFonts w:ascii="Times" w:hAnsi="Times"/>
          <w:bCs/>
        </w:rPr>
        <w:t>Directive 2001/83/EC of the European Parliament and of the Council of 6 November 2001 on the Community code relating to medicinal products for human use</w:t>
      </w:r>
      <w:r w:rsidR="00491EE5">
        <w:rPr>
          <w:rFonts w:ascii="Times" w:hAnsi="Times"/>
          <w:bCs/>
        </w:rPr>
        <w:t>.</w:t>
      </w:r>
    </w:p>
    <w:p w14:paraId="6D521FAD" w14:textId="5DFEA2E5" w:rsidR="00070397" w:rsidRDefault="00070397" w:rsidP="00177B79">
      <w:pPr>
        <w:pStyle w:val="WPNormal"/>
        <w:numPr>
          <w:ilvl w:val="0"/>
          <w:numId w:val="28"/>
        </w:numPr>
        <w:rPr>
          <w:rFonts w:ascii="Times" w:hAnsi="Times"/>
          <w:bCs/>
        </w:rPr>
      </w:pPr>
      <w:r w:rsidRPr="00070397">
        <w:rPr>
          <w:rFonts w:ascii="Times" w:hAnsi="Times"/>
          <w:bCs/>
        </w:rPr>
        <w:t>Regulation (EC) No 141/2000 of the European Parliament and of the Council of 16 December 1999 on orphan medicinal products</w:t>
      </w:r>
      <w:r w:rsidR="00491EE5">
        <w:rPr>
          <w:rFonts w:ascii="Times" w:hAnsi="Times"/>
          <w:bCs/>
        </w:rPr>
        <w:t>.</w:t>
      </w:r>
    </w:p>
    <w:p w14:paraId="64E45245" w14:textId="0CBC1D16" w:rsidR="00070397" w:rsidRDefault="00070397" w:rsidP="00177B79">
      <w:pPr>
        <w:pStyle w:val="WPNormal"/>
        <w:numPr>
          <w:ilvl w:val="0"/>
          <w:numId w:val="28"/>
        </w:numPr>
        <w:rPr>
          <w:rFonts w:ascii="Times" w:hAnsi="Times"/>
          <w:bCs/>
        </w:rPr>
      </w:pPr>
      <w:r w:rsidRPr="00070397">
        <w:rPr>
          <w:rFonts w:ascii="Times" w:hAnsi="Times"/>
          <w:bCs/>
        </w:rPr>
        <w:t xml:space="preserve">Regulation (EC) No 1901/2006 of the European Parliament and of the Council of 12 December 2006 on medicinal products for </w:t>
      </w:r>
      <w:proofErr w:type="spellStart"/>
      <w:r w:rsidRPr="00070397">
        <w:rPr>
          <w:rFonts w:ascii="Times" w:hAnsi="Times"/>
          <w:bCs/>
        </w:rPr>
        <w:t>paediatric</w:t>
      </w:r>
      <w:proofErr w:type="spellEnd"/>
      <w:r w:rsidRPr="00070397">
        <w:rPr>
          <w:rFonts w:ascii="Times" w:hAnsi="Times"/>
          <w:bCs/>
        </w:rPr>
        <w:t xml:space="preserve"> use</w:t>
      </w:r>
      <w:r w:rsidR="00491EE5">
        <w:rPr>
          <w:rFonts w:ascii="Times" w:hAnsi="Times"/>
          <w:bCs/>
        </w:rPr>
        <w:t>.</w:t>
      </w:r>
    </w:p>
    <w:p w14:paraId="7DFA5E8C" w14:textId="27B48C11" w:rsidR="00070397" w:rsidRDefault="00070397" w:rsidP="00177B79">
      <w:pPr>
        <w:pStyle w:val="WPNormal"/>
        <w:numPr>
          <w:ilvl w:val="0"/>
          <w:numId w:val="28"/>
        </w:numPr>
        <w:rPr>
          <w:rFonts w:ascii="Times" w:hAnsi="Times"/>
          <w:bCs/>
        </w:rPr>
      </w:pPr>
      <w:r w:rsidRPr="00070397">
        <w:rPr>
          <w:rFonts w:ascii="Times" w:hAnsi="Times"/>
          <w:bCs/>
        </w:rPr>
        <w:t>Regulation (EC) No 1394/2007 of the European Parliament and of the Council of 13 November 2007 on advanced therapy medicinal products</w:t>
      </w:r>
      <w:r w:rsidR="00491EE5">
        <w:rPr>
          <w:rFonts w:ascii="Times" w:hAnsi="Times"/>
          <w:bCs/>
        </w:rPr>
        <w:t>.</w:t>
      </w:r>
    </w:p>
    <w:p w14:paraId="1D04E468" w14:textId="546E2F0F" w:rsidR="008F28BD" w:rsidRDefault="008F28BD" w:rsidP="00177B79">
      <w:pPr>
        <w:pStyle w:val="WPNormal"/>
        <w:numPr>
          <w:ilvl w:val="0"/>
          <w:numId w:val="28"/>
        </w:numPr>
        <w:rPr>
          <w:rFonts w:ascii="Times" w:hAnsi="Times"/>
          <w:bCs/>
        </w:rPr>
      </w:pPr>
      <w:r>
        <w:rPr>
          <w:rFonts w:ascii="Times" w:hAnsi="Times"/>
          <w:bCs/>
        </w:rPr>
        <w:t>Guideline on Similar Medicinal Products – European Medicines Agency – 23 October 2014</w:t>
      </w:r>
      <w:r w:rsidR="00491EE5">
        <w:rPr>
          <w:rFonts w:ascii="Times" w:hAnsi="Times"/>
          <w:bCs/>
        </w:rPr>
        <w:t>.</w:t>
      </w:r>
    </w:p>
    <w:p w14:paraId="61968EC0" w14:textId="76C86260" w:rsidR="00CE5A3D" w:rsidRDefault="00A12E81" w:rsidP="005E2D7C">
      <w:pPr>
        <w:pStyle w:val="WPNormal"/>
        <w:numPr>
          <w:ilvl w:val="0"/>
          <w:numId w:val="28"/>
        </w:numPr>
        <w:rPr>
          <w:rFonts w:ascii="Times" w:hAnsi="Times"/>
          <w:bCs/>
        </w:rPr>
      </w:pPr>
      <w:hyperlink r:id="rId14" w:history="1">
        <w:r w:rsidR="00CE5A3D" w:rsidRPr="00CE5A3D">
          <w:rPr>
            <w:rStyle w:val="Hyperlink"/>
            <w:rFonts w:ascii="Times" w:hAnsi="Times"/>
            <w:bCs/>
          </w:rPr>
          <w:t>https://www.ich.org/page/safety-guidelines</w:t>
        </w:r>
      </w:hyperlink>
      <w:r w:rsidR="00CE5A3D" w:rsidRPr="00CE5A3D">
        <w:rPr>
          <w:rFonts w:ascii="Times" w:hAnsi="Times"/>
          <w:bCs/>
        </w:rPr>
        <w:t xml:space="preserve"> :ICH Safety guidelines S1-S</w:t>
      </w:r>
      <w:proofErr w:type="gramStart"/>
      <w:r w:rsidR="00CE5A3D" w:rsidRPr="00CE5A3D">
        <w:rPr>
          <w:rFonts w:ascii="Times" w:hAnsi="Times"/>
          <w:bCs/>
        </w:rPr>
        <w:t>12 :</w:t>
      </w:r>
      <w:proofErr w:type="gramEnd"/>
      <w:r w:rsidR="00CE5A3D" w:rsidRPr="00CE5A3D">
        <w:rPr>
          <w:rFonts w:ascii="Times" w:hAnsi="Times"/>
          <w:bCs/>
        </w:rPr>
        <w:t xml:space="preserve"> special focus on preclinical safety</w:t>
      </w:r>
      <w:r w:rsidR="00491EE5">
        <w:rPr>
          <w:rFonts w:ascii="Times" w:hAnsi="Times"/>
          <w:bCs/>
        </w:rPr>
        <w:t>.</w:t>
      </w:r>
      <w:r w:rsidR="00CE5A3D" w:rsidRPr="00CE5A3D">
        <w:rPr>
          <w:rFonts w:ascii="Times" w:hAnsi="Times"/>
          <w:bCs/>
        </w:rPr>
        <w:t xml:space="preserve"> </w:t>
      </w:r>
    </w:p>
    <w:p w14:paraId="4AD9E084" w14:textId="5591E387" w:rsidR="00CE5A3D" w:rsidRPr="00CE5A3D" w:rsidRDefault="00A12E81" w:rsidP="00CE5A3D">
      <w:pPr>
        <w:pStyle w:val="WPNormal"/>
        <w:numPr>
          <w:ilvl w:val="0"/>
          <w:numId w:val="28"/>
        </w:numPr>
        <w:rPr>
          <w:rFonts w:ascii="Times" w:hAnsi="Times"/>
          <w:bCs/>
        </w:rPr>
      </w:pPr>
      <w:hyperlink r:id="rId15" w:history="1">
        <w:r w:rsidR="00CE5A3D" w:rsidRPr="00E92FC7">
          <w:rPr>
            <w:rStyle w:val="Hyperlink"/>
            <w:rFonts w:ascii="Times" w:hAnsi="Times"/>
            <w:bCs/>
          </w:rPr>
          <w:t>https://www.ich.org/page/multidisciplinary-guidelines</w:t>
        </w:r>
      </w:hyperlink>
      <w:r w:rsidR="00CE5A3D">
        <w:rPr>
          <w:rFonts w:ascii="Times" w:hAnsi="Times"/>
          <w:bCs/>
        </w:rPr>
        <w:t xml:space="preserve"> : multidisciplinary guidelines M3(R2) guideline for Nonclinical Safety studies for the conduct of Human Clinical </w:t>
      </w:r>
      <w:proofErr w:type="spellStart"/>
      <w:r w:rsidR="00CE5A3D">
        <w:rPr>
          <w:rFonts w:ascii="Times" w:hAnsi="Times"/>
          <w:bCs/>
        </w:rPr>
        <w:t>Trails</w:t>
      </w:r>
      <w:proofErr w:type="spellEnd"/>
      <w:r w:rsidR="00491EE5">
        <w:rPr>
          <w:rFonts w:ascii="Times" w:hAnsi="Times"/>
          <w:bCs/>
        </w:rPr>
        <w:t>.</w:t>
      </w:r>
      <w:r w:rsidR="00CE5A3D">
        <w:rPr>
          <w:rFonts w:ascii="Times" w:hAnsi="Times"/>
          <w:bCs/>
        </w:rPr>
        <w:t xml:space="preserve"> </w:t>
      </w:r>
    </w:p>
    <w:p w14:paraId="38A40D31" w14:textId="58D2934D" w:rsidR="003C45C2" w:rsidRDefault="003C45C2" w:rsidP="00177B79">
      <w:pPr>
        <w:pStyle w:val="WPNormal"/>
        <w:numPr>
          <w:ilvl w:val="0"/>
          <w:numId w:val="28"/>
        </w:numPr>
        <w:rPr>
          <w:rFonts w:ascii="Times" w:hAnsi="Times"/>
          <w:bCs/>
        </w:rPr>
      </w:pPr>
      <w:r w:rsidRPr="003C45C2">
        <w:rPr>
          <w:rFonts w:ascii="Times" w:hAnsi="Times"/>
          <w:bCs/>
        </w:rPr>
        <w:t>ICH E4 Dose response information to support drug registration</w:t>
      </w:r>
      <w:r w:rsidR="00491EE5">
        <w:rPr>
          <w:rFonts w:ascii="Times" w:hAnsi="Times"/>
          <w:bCs/>
        </w:rPr>
        <w:t>.</w:t>
      </w:r>
    </w:p>
    <w:p w14:paraId="361163D0" w14:textId="2169CD70" w:rsidR="003C45C2" w:rsidRDefault="003C45C2" w:rsidP="00177B79">
      <w:pPr>
        <w:pStyle w:val="WPNormal"/>
        <w:numPr>
          <w:ilvl w:val="0"/>
          <w:numId w:val="28"/>
        </w:numPr>
        <w:rPr>
          <w:rFonts w:ascii="Times" w:hAnsi="Times"/>
          <w:bCs/>
        </w:rPr>
      </w:pPr>
      <w:r>
        <w:rPr>
          <w:rFonts w:ascii="Times" w:hAnsi="Times"/>
          <w:bCs/>
        </w:rPr>
        <w:t>ICH Q7 Good Manufacturing Practice Guide for Active Pharmaceutical Ingredients</w:t>
      </w:r>
      <w:r w:rsidR="00491EE5">
        <w:rPr>
          <w:rFonts w:ascii="Times" w:hAnsi="Times"/>
          <w:bCs/>
        </w:rPr>
        <w:t>.</w:t>
      </w:r>
      <w:r>
        <w:rPr>
          <w:rFonts w:ascii="Times" w:hAnsi="Times"/>
          <w:bCs/>
        </w:rPr>
        <w:t xml:space="preserve"> </w:t>
      </w:r>
    </w:p>
    <w:p w14:paraId="63EFC373" w14:textId="72FAFAB5" w:rsidR="003C45C2" w:rsidRDefault="003C45C2" w:rsidP="00177B79">
      <w:pPr>
        <w:pStyle w:val="WPNormal"/>
        <w:numPr>
          <w:ilvl w:val="0"/>
          <w:numId w:val="28"/>
        </w:numPr>
        <w:rPr>
          <w:rFonts w:ascii="Times" w:hAnsi="Times"/>
          <w:bCs/>
        </w:rPr>
      </w:pPr>
      <w:r>
        <w:rPr>
          <w:rFonts w:ascii="Times" w:hAnsi="Times"/>
          <w:bCs/>
        </w:rPr>
        <w:t>ICH Q8(R2) Pharmaceutical Development</w:t>
      </w:r>
      <w:r w:rsidR="00491EE5">
        <w:rPr>
          <w:rFonts w:ascii="Times" w:hAnsi="Times"/>
          <w:bCs/>
        </w:rPr>
        <w:t>.</w:t>
      </w:r>
      <w:r>
        <w:rPr>
          <w:rFonts w:ascii="Times" w:hAnsi="Times"/>
          <w:bCs/>
        </w:rPr>
        <w:t xml:space="preserve"> </w:t>
      </w:r>
    </w:p>
    <w:p w14:paraId="3C458F5C" w14:textId="2170D45D" w:rsidR="003C45C2" w:rsidRDefault="003C45C2" w:rsidP="00177B79">
      <w:pPr>
        <w:pStyle w:val="WPNormal"/>
        <w:numPr>
          <w:ilvl w:val="0"/>
          <w:numId w:val="28"/>
        </w:numPr>
        <w:rPr>
          <w:rFonts w:ascii="Times" w:hAnsi="Times"/>
          <w:bCs/>
        </w:rPr>
      </w:pPr>
      <w:r>
        <w:rPr>
          <w:rFonts w:ascii="Times" w:hAnsi="Times"/>
          <w:bCs/>
        </w:rPr>
        <w:t>ICH Q9 Quality Risk Management</w:t>
      </w:r>
      <w:r w:rsidR="00491EE5">
        <w:rPr>
          <w:rFonts w:ascii="Times" w:hAnsi="Times"/>
          <w:bCs/>
        </w:rPr>
        <w:t>.</w:t>
      </w:r>
      <w:r>
        <w:rPr>
          <w:rFonts w:ascii="Times" w:hAnsi="Times"/>
          <w:bCs/>
        </w:rPr>
        <w:t xml:space="preserve"> </w:t>
      </w:r>
    </w:p>
    <w:p w14:paraId="4827D38A" w14:textId="008FA8C3" w:rsidR="003C45C2" w:rsidRDefault="003C45C2" w:rsidP="00177B79">
      <w:pPr>
        <w:pStyle w:val="WPNormal"/>
        <w:numPr>
          <w:ilvl w:val="0"/>
          <w:numId w:val="28"/>
        </w:numPr>
        <w:rPr>
          <w:rFonts w:ascii="Times" w:hAnsi="Times"/>
          <w:bCs/>
        </w:rPr>
      </w:pPr>
      <w:r>
        <w:rPr>
          <w:rFonts w:ascii="Times" w:hAnsi="Times"/>
          <w:bCs/>
        </w:rPr>
        <w:t>ICH Q10 Pharmaceutical Quality System</w:t>
      </w:r>
      <w:r w:rsidR="00491EE5">
        <w:rPr>
          <w:rFonts w:ascii="Times" w:hAnsi="Times"/>
          <w:bCs/>
        </w:rPr>
        <w:t>.</w:t>
      </w:r>
    </w:p>
    <w:p w14:paraId="3E3583F5" w14:textId="224A046D" w:rsidR="003C45C2" w:rsidRDefault="003C45C2" w:rsidP="00177B79">
      <w:pPr>
        <w:pStyle w:val="WPNormal"/>
        <w:numPr>
          <w:ilvl w:val="0"/>
          <w:numId w:val="28"/>
        </w:numPr>
        <w:rPr>
          <w:rFonts w:ascii="Times" w:hAnsi="Times"/>
          <w:bCs/>
        </w:rPr>
      </w:pPr>
      <w:r w:rsidRPr="003C45C2">
        <w:rPr>
          <w:rFonts w:ascii="Times" w:hAnsi="Times"/>
          <w:bCs/>
        </w:rPr>
        <w:t>ICH Q12 Technical and regulatory considerations for pharmaceutical product lifecycle management</w:t>
      </w:r>
      <w:r w:rsidR="00491EE5">
        <w:rPr>
          <w:rFonts w:ascii="Times" w:hAnsi="Times"/>
          <w:bCs/>
        </w:rPr>
        <w:t>.</w:t>
      </w:r>
    </w:p>
    <w:p w14:paraId="0AE423F5" w14:textId="6D442539" w:rsidR="00F21A4D" w:rsidRDefault="00F21A4D" w:rsidP="008873AB">
      <w:pPr>
        <w:pStyle w:val="WPNormal"/>
        <w:ind w:left="360"/>
        <w:rPr>
          <w:rFonts w:ascii="Times" w:hAnsi="Times"/>
          <w:bCs/>
        </w:rPr>
      </w:pPr>
    </w:p>
    <w:p w14:paraId="4F9FE3C1" w14:textId="0ED97897" w:rsidR="00F21A4D" w:rsidRDefault="00F21A4D" w:rsidP="008873AB">
      <w:pPr>
        <w:pStyle w:val="WPNormal"/>
        <w:ind w:left="360"/>
        <w:rPr>
          <w:rFonts w:ascii="Times" w:hAnsi="Times"/>
          <w:bCs/>
        </w:rPr>
      </w:pPr>
    </w:p>
    <w:p w14:paraId="171B6111" w14:textId="60CA03D3" w:rsidR="00F21A4D" w:rsidRPr="00F21A4D" w:rsidRDefault="00F21A4D" w:rsidP="008873AB">
      <w:pPr>
        <w:pStyle w:val="WPNormal"/>
        <w:ind w:left="360"/>
        <w:rPr>
          <w:rFonts w:ascii="Times" w:hAnsi="Times"/>
          <w:bCs/>
          <w:u w:val="single"/>
        </w:rPr>
      </w:pPr>
      <w:r w:rsidRPr="00F21A4D">
        <w:rPr>
          <w:rFonts w:ascii="Times" w:hAnsi="Times"/>
          <w:bCs/>
          <w:u w:val="single"/>
        </w:rPr>
        <w:t xml:space="preserve">Regulation of Medical Devices – </w:t>
      </w:r>
    </w:p>
    <w:p w14:paraId="3192E724" w14:textId="137257F1" w:rsidR="00F21A4D" w:rsidRPr="005C7CAF" w:rsidRDefault="005C7CAF" w:rsidP="005C7CAF">
      <w:pPr>
        <w:pStyle w:val="WPNormal"/>
        <w:numPr>
          <w:ilvl w:val="0"/>
          <w:numId w:val="26"/>
        </w:numPr>
        <w:bidi/>
        <w:rPr>
          <w:rFonts w:ascii="Times" w:hAnsi="Times"/>
          <w:b/>
          <w:sz w:val="28"/>
          <w:szCs w:val="22"/>
          <w:lang w:bidi="he-IL"/>
        </w:rPr>
      </w:pPr>
      <w:r w:rsidRPr="005C7CAF">
        <w:rPr>
          <w:rFonts w:ascii="Times" w:hAnsi="Times" w:hint="cs"/>
          <w:b/>
          <w:sz w:val="28"/>
          <w:szCs w:val="22"/>
          <w:rtl/>
          <w:lang w:bidi="he-IL"/>
        </w:rPr>
        <w:t>חוק ציוד רפואי</w:t>
      </w:r>
      <w:r>
        <w:rPr>
          <w:rFonts w:ascii="Times" w:hAnsi="Times" w:hint="cs"/>
          <w:b/>
          <w:sz w:val="28"/>
          <w:szCs w:val="22"/>
          <w:rtl/>
          <w:lang w:bidi="he-IL"/>
        </w:rPr>
        <w:t xml:space="preserve">, </w:t>
      </w:r>
      <w:proofErr w:type="spellStart"/>
      <w:r>
        <w:rPr>
          <w:rFonts w:ascii="Times" w:hAnsi="Times" w:hint="cs"/>
          <w:b/>
          <w:sz w:val="28"/>
          <w:szCs w:val="22"/>
          <w:rtl/>
          <w:lang w:bidi="he-IL"/>
        </w:rPr>
        <w:t>התשע"ב</w:t>
      </w:r>
      <w:proofErr w:type="spellEnd"/>
      <w:r>
        <w:rPr>
          <w:rFonts w:ascii="Times" w:hAnsi="Times" w:hint="cs"/>
          <w:b/>
          <w:sz w:val="28"/>
          <w:szCs w:val="22"/>
          <w:rtl/>
          <w:lang w:bidi="he-IL"/>
        </w:rPr>
        <w:t xml:space="preserve"> </w:t>
      </w:r>
      <w:r w:rsidR="00491EE5">
        <w:rPr>
          <w:rFonts w:ascii="Times" w:hAnsi="Times"/>
          <w:b/>
          <w:sz w:val="28"/>
          <w:szCs w:val="22"/>
          <w:rtl/>
          <w:lang w:bidi="he-IL"/>
        </w:rPr>
        <w:t>–</w:t>
      </w:r>
      <w:r>
        <w:rPr>
          <w:rFonts w:ascii="Times" w:hAnsi="Times" w:hint="cs"/>
          <w:b/>
          <w:sz w:val="28"/>
          <w:szCs w:val="22"/>
          <w:rtl/>
          <w:lang w:bidi="he-IL"/>
        </w:rPr>
        <w:t xml:space="preserve"> 2012</w:t>
      </w:r>
      <w:r w:rsidR="00491EE5">
        <w:rPr>
          <w:rFonts w:ascii="Times" w:hAnsi="Times" w:hint="cs"/>
          <w:b/>
          <w:sz w:val="28"/>
          <w:szCs w:val="22"/>
          <w:rtl/>
          <w:lang w:bidi="he-IL"/>
        </w:rPr>
        <w:t>.</w:t>
      </w:r>
    </w:p>
    <w:p w14:paraId="76D04514" w14:textId="6A21654A" w:rsidR="00F21A4D" w:rsidRDefault="005C7CAF" w:rsidP="005C7CAF">
      <w:pPr>
        <w:pStyle w:val="WPNormal"/>
        <w:numPr>
          <w:ilvl w:val="0"/>
          <w:numId w:val="26"/>
        </w:numPr>
        <w:bidi/>
        <w:rPr>
          <w:rFonts w:ascii="Times" w:hAnsi="Times"/>
          <w:b/>
          <w:sz w:val="28"/>
          <w:szCs w:val="22"/>
          <w:lang w:bidi="he-IL"/>
        </w:rPr>
      </w:pPr>
      <w:r>
        <w:rPr>
          <w:rFonts w:ascii="Times" w:hAnsi="Times" w:hint="cs"/>
          <w:b/>
          <w:sz w:val="28"/>
          <w:szCs w:val="22"/>
          <w:rtl/>
          <w:lang w:bidi="he-IL"/>
        </w:rPr>
        <w:t>תקנות ציוד רפואי 2013</w:t>
      </w:r>
      <w:r w:rsidR="00491EE5">
        <w:rPr>
          <w:rFonts w:ascii="Times" w:hAnsi="Times" w:hint="cs"/>
          <w:b/>
          <w:sz w:val="28"/>
          <w:szCs w:val="22"/>
          <w:rtl/>
          <w:lang w:bidi="he-IL"/>
        </w:rPr>
        <w:t>.</w:t>
      </w:r>
    </w:p>
    <w:p w14:paraId="3E3AB879" w14:textId="1E37C398" w:rsidR="005C7CAF" w:rsidRDefault="005C7CAF" w:rsidP="005C7CAF">
      <w:pPr>
        <w:pStyle w:val="WPNormal"/>
        <w:numPr>
          <w:ilvl w:val="0"/>
          <w:numId w:val="26"/>
        </w:numPr>
        <w:rPr>
          <w:rFonts w:ascii="Times" w:hAnsi="Times"/>
          <w:bCs/>
        </w:rPr>
      </w:pPr>
      <w:r w:rsidRPr="005C7CAF">
        <w:rPr>
          <w:rFonts w:ascii="Times" w:hAnsi="Times"/>
          <w:bCs/>
        </w:rPr>
        <w:t xml:space="preserve">Regulation </w:t>
      </w:r>
      <w:r>
        <w:rPr>
          <w:rFonts w:ascii="Times" w:hAnsi="Times"/>
          <w:bCs/>
        </w:rPr>
        <w:t>2017/745 of the European Parliament on Medical Devices</w:t>
      </w:r>
      <w:r w:rsidR="00491EE5">
        <w:rPr>
          <w:rFonts w:ascii="Times" w:hAnsi="Times"/>
          <w:bCs/>
        </w:rPr>
        <w:t>.</w:t>
      </w:r>
    </w:p>
    <w:p w14:paraId="028303D1" w14:textId="5C574D6C" w:rsidR="005C7CAF" w:rsidRDefault="005C7CAF" w:rsidP="005C7CAF">
      <w:pPr>
        <w:pStyle w:val="WPNormal"/>
        <w:numPr>
          <w:ilvl w:val="0"/>
          <w:numId w:val="26"/>
        </w:numPr>
        <w:rPr>
          <w:rFonts w:ascii="Times" w:hAnsi="Times"/>
          <w:bCs/>
        </w:rPr>
      </w:pPr>
      <w:r>
        <w:rPr>
          <w:rFonts w:ascii="Times" w:hAnsi="Times"/>
          <w:bCs/>
        </w:rPr>
        <w:lastRenderedPageBreak/>
        <w:t>Regulation 2017/746 of the European Parliament on In Vitro Diagnostic Medical Devices</w:t>
      </w:r>
      <w:r w:rsidR="00491EE5">
        <w:rPr>
          <w:rFonts w:ascii="Times" w:hAnsi="Times"/>
          <w:bCs/>
        </w:rPr>
        <w:t>.</w:t>
      </w:r>
    </w:p>
    <w:p w14:paraId="31B96731" w14:textId="4D6D0885" w:rsidR="005C7CAF" w:rsidRDefault="005C7CAF" w:rsidP="005C7CAF">
      <w:pPr>
        <w:pStyle w:val="WPNormal"/>
        <w:numPr>
          <w:ilvl w:val="0"/>
          <w:numId w:val="26"/>
        </w:numPr>
        <w:rPr>
          <w:rFonts w:ascii="Times" w:hAnsi="Times"/>
          <w:bCs/>
        </w:rPr>
      </w:pPr>
      <w:r>
        <w:rPr>
          <w:rFonts w:ascii="Times" w:hAnsi="Times"/>
          <w:bCs/>
        </w:rPr>
        <w:t>21 CFR 814 Premarket Approval of Medical Devices</w:t>
      </w:r>
      <w:r w:rsidR="00491EE5">
        <w:rPr>
          <w:rFonts w:ascii="Times" w:hAnsi="Times"/>
          <w:bCs/>
        </w:rPr>
        <w:t>.</w:t>
      </w:r>
    </w:p>
    <w:p w14:paraId="609D140E" w14:textId="6AECAAFC" w:rsidR="00224062" w:rsidRDefault="00224062" w:rsidP="005C7CAF">
      <w:pPr>
        <w:pStyle w:val="WPNormal"/>
        <w:numPr>
          <w:ilvl w:val="0"/>
          <w:numId w:val="26"/>
        </w:numPr>
        <w:rPr>
          <w:rFonts w:ascii="Times" w:hAnsi="Times"/>
          <w:bCs/>
        </w:rPr>
      </w:pPr>
      <w:r>
        <w:rPr>
          <w:rFonts w:ascii="Times" w:hAnsi="Times"/>
          <w:bCs/>
        </w:rPr>
        <w:t>The 510(k) Program: Evaluating Substantial Equivalence in Premarket Notifications [510(k)] – FDA Guidance of July 28, 2014</w:t>
      </w:r>
      <w:r w:rsidR="00491EE5">
        <w:rPr>
          <w:rFonts w:ascii="Times" w:hAnsi="Times"/>
          <w:bCs/>
        </w:rPr>
        <w:t>.</w:t>
      </w:r>
    </w:p>
    <w:p w14:paraId="3C35A744" w14:textId="14686921" w:rsidR="005C7CAF" w:rsidRDefault="005C7CAF" w:rsidP="005C7CAF">
      <w:pPr>
        <w:pStyle w:val="WPNormal"/>
        <w:numPr>
          <w:ilvl w:val="0"/>
          <w:numId w:val="26"/>
        </w:numPr>
        <w:rPr>
          <w:rFonts w:ascii="Times" w:hAnsi="Times"/>
          <w:bCs/>
        </w:rPr>
      </w:pPr>
      <w:r>
        <w:rPr>
          <w:rFonts w:ascii="Times" w:hAnsi="Times"/>
          <w:bCs/>
        </w:rPr>
        <w:t xml:space="preserve">De Novo Classification Process (Evaluation of Automatic Class III Designation) – FDA Guidance of </w:t>
      </w:r>
      <w:r w:rsidR="00224062">
        <w:rPr>
          <w:rFonts w:ascii="Times" w:hAnsi="Times"/>
          <w:bCs/>
        </w:rPr>
        <w:t xml:space="preserve">October </w:t>
      </w:r>
      <w:r>
        <w:rPr>
          <w:rFonts w:ascii="Times" w:hAnsi="Times"/>
          <w:bCs/>
        </w:rPr>
        <w:t>05, 2021</w:t>
      </w:r>
      <w:r w:rsidR="00491EE5">
        <w:rPr>
          <w:rFonts w:ascii="Times" w:hAnsi="Times"/>
          <w:bCs/>
        </w:rPr>
        <w:t>.</w:t>
      </w:r>
    </w:p>
    <w:p w14:paraId="675D0795" w14:textId="0495D9E7" w:rsidR="005C7CAF" w:rsidRDefault="00224062" w:rsidP="005C7CAF">
      <w:pPr>
        <w:pStyle w:val="WPNormal"/>
        <w:numPr>
          <w:ilvl w:val="0"/>
          <w:numId w:val="26"/>
        </w:numPr>
        <w:rPr>
          <w:rFonts w:ascii="Times" w:hAnsi="Times"/>
          <w:bCs/>
        </w:rPr>
      </w:pPr>
      <w:r>
        <w:rPr>
          <w:rFonts w:ascii="Times" w:hAnsi="Times"/>
          <w:bCs/>
        </w:rPr>
        <w:t>General Wellness: Policy for Low Risk Devices – FDA Guidance of September 27, 2019</w:t>
      </w:r>
      <w:r w:rsidR="00491EE5">
        <w:rPr>
          <w:rFonts w:ascii="Times" w:hAnsi="Times"/>
          <w:bCs/>
        </w:rPr>
        <w:t>.</w:t>
      </w:r>
    </w:p>
    <w:p w14:paraId="3F0B5593" w14:textId="03D52E44" w:rsidR="00224062" w:rsidRDefault="00224062" w:rsidP="005C7CAF">
      <w:pPr>
        <w:pStyle w:val="WPNormal"/>
        <w:numPr>
          <w:ilvl w:val="0"/>
          <w:numId w:val="26"/>
        </w:numPr>
        <w:rPr>
          <w:rFonts w:ascii="Times" w:hAnsi="Times"/>
          <w:bCs/>
        </w:rPr>
      </w:pPr>
      <w:r>
        <w:rPr>
          <w:rFonts w:ascii="Times" w:hAnsi="Times"/>
          <w:bCs/>
        </w:rPr>
        <w:t>ISO 13485:2016 Medical devices – Quality management systems – Requirements for regulatory purposes</w:t>
      </w:r>
      <w:r w:rsidR="00491EE5">
        <w:rPr>
          <w:rFonts w:ascii="Times" w:hAnsi="Times"/>
          <w:bCs/>
        </w:rPr>
        <w:t>.</w:t>
      </w:r>
      <w:r>
        <w:rPr>
          <w:rFonts w:ascii="Times" w:hAnsi="Times"/>
          <w:bCs/>
        </w:rPr>
        <w:t xml:space="preserve">  </w:t>
      </w:r>
    </w:p>
    <w:p w14:paraId="2A26BCB7" w14:textId="245C94C9" w:rsidR="00224062" w:rsidRPr="005C7CAF" w:rsidRDefault="00224062" w:rsidP="005C7CAF">
      <w:pPr>
        <w:pStyle w:val="WPNormal"/>
        <w:numPr>
          <w:ilvl w:val="0"/>
          <w:numId w:val="26"/>
        </w:numPr>
        <w:rPr>
          <w:rFonts w:ascii="Times" w:hAnsi="Times"/>
          <w:bCs/>
        </w:rPr>
      </w:pPr>
      <w:r>
        <w:rPr>
          <w:rFonts w:ascii="Times" w:hAnsi="Times"/>
          <w:bCs/>
        </w:rPr>
        <w:t>ISO 14971:2019 Medical devices – Application of risk management to medical devices</w:t>
      </w:r>
      <w:r w:rsidR="00491EE5">
        <w:rPr>
          <w:rFonts w:ascii="Times" w:hAnsi="Times"/>
          <w:bCs/>
        </w:rPr>
        <w:t>.</w:t>
      </w:r>
      <w:r>
        <w:rPr>
          <w:rFonts w:ascii="Times" w:hAnsi="Times"/>
          <w:bCs/>
        </w:rPr>
        <w:t xml:space="preserve"> </w:t>
      </w:r>
    </w:p>
    <w:p w14:paraId="53124D73" w14:textId="65E0073D" w:rsidR="00F21A4D" w:rsidRDefault="00F21A4D" w:rsidP="008873AB">
      <w:pPr>
        <w:pStyle w:val="WPNormal"/>
        <w:ind w:left="360"/>
        <w:rPr>
          <w:rFonts w:ascii="Times" w:hAnsi="Times"/>
          <w:bCs/>
        </w:rPr>
      </w:pPr>
    </w:p>
    <w:p w14:paraId="5E82ADB6" w14:textId="77777777" w:rsidR="00E54E89" w:rsidRDefault="00E54E89" w:rsidP="008873AB">
      <w:pPr>
        <w:pStyle w:val="WPNormal"/>
        <w:ind w:left="360"/>
        <w:rPr>
          <w:rFonts w:ascii="Times" w:hAnsi="Times"/>
          <w:bCs/>
        </w:rPr>
      </w:pPr>
    </w:p>
    <w:p w14:paraId="4E34847D" w14:textId="663DF73B" w:rsidR="008873AB" w:rsidRPr="008873AB" w:rsidRDefault="00F21A4D" w:rsidP="008873AB">
      <w:pPr>
        <w:pStyle w:val="WPNormal"/>
        <w:ind w:left="360"/>
        <w:rPr>
          <w:rFonts w:ascii="Times" w:hAnsi="Times"/>
          <w:bCs/>
          <w:u w:val="single"/>
        </w:rPr>
      </w:pPr>
      <w:r>
        <w:rPr>
          <w:rFonts w:ascii="Times" w:hAnsi="Times"/>
          <w:bCs/>
          <w:u w:val="single"/>
        </w:rPr>
        <w:t>Regulation of Combination Products</w:t>
      </w:r>
      <w:r w:rsidR="008873AB" w:rsidRPr="008873AB">
        <w:rPr>
          <w:rFonts w:ascii="Times" w:hAnsi="Times"/>
          <w:bCs/>
          <w:u w:val="single"/>
        </w:rPr>
        <w:t xml:space="preserve"> – </w:t>
      </w:r>
    </w:p>
    <w:p w14:paraId="76B4A9C1" w14:textId="0EC4B1B3" w:rsidR="00B30A4C" w:rsidRDefault="00B30A4C" w:rsidP="00751160">
      <w:pPr>
        <w:pStyle w:val="WPNormal"/>
        <w:numPr>
          <w:ilvl w:val="0"/>
          <w:numId w:val="26"/>
        </w:numPr>
        <w:rPr>
          <w:rFonts w:ascii="Times" w:hAnsi="Times"/>
          <w:bCs/>
        </w:rPr>
      </w:pPr>
      <w:r>
        <w:rPr>
          <w:rFonts w:ascii="Times" w:hAnsi="Times"/>
          <w:bCs/>
        </w:rPr>
        <w:t>21 CFR Part 3 Product Jurisdiction</w:t>
      </w:r>
      <w:r w:rsidR="00491EE5">
        <w:rPr>
          <w:rFonts w:ascii="Times" w:hAnsi="Times"/>
          <w:bCs/>
        </w:rPr>
        <w:t>.</w:t>
      </w:r>
      <w:r>
        <w:rPr>
          <w:rFonts w:ascii="Times" w:hAnsi="Times"/>
          <w:bCs/>
        </w:rPr>
        <w:t xml:space="preserve"> </w:t>
      </w:r>
    </w:p>
    <w:p w14:paraId="42BBD596" w14:textId="2AE1C8DD" w:rsidR="00B30A4C" w:rsidRDefault="00B30A4C" w:rsidP="00751160">
      <w:pPr>
        <w:pStyle w:val="WPNormal"/>
        <w:numPr>
          <w:ilvl w:val="0"/>
          <w:numId w:val="26"/>
        </w:numPr>
        <w:rPr>
          <w:rFonts w:ascii="Times" w:hAnsi="Times"/>
          <w:bCs/>
        </w:rPr>
      </w:pPr>
      <w:r>
        <w:rPr>
          <w:rFonts w:ascii="Times" w:hAnsi="Times"/>
          <w:bCs/>
        </w:rPr>
        <w:t>21 CFR Part 4 Regulation of Combination Products</w:t>
      </w:r>
      <w:r w:rsidR="00491EE5">
        <w:rPr>
          <w:rFonts w:ascii="Times" w:hAnsi="Times"/>
          <w:bCs/>
        </w:rPr>
        <w:t>.</w:t>
      </w:r>
      <w:r>
        <w:rPr>
          <w:rFonts w:ascii="Times" w:hAnsi="Times"/>
          <w:bCs/>
        </w:rPr>
        <w:t xml:space="preserve"> </w:t>
      </w:r>
    </w:p>
    <w:p w14:paraId="4333E6B9" w14:textId="32E39FE7" w:rsidR="008873AB" w:rsidRDefault="00B30A4C" w:rsidP="00751160">
      <w:pPr>
        <w:pStyle w:val="WPNormal"/>
        <w:numPr>
          <w:ilvl w:val="0"/>
          <w:numId w:val="26"/>
        </w:numPr>
        <w:rPr>
          <w:rFonts w:ascii="Times" w:hAnsi="Times"/>
          <w:bCs/>
        </w:rPr>
      </w:pPr>
      <w:r w:rsidRPr="00B30A4C">
        <w:rPr>
          <w:rFonts w:ascii="Times" w:hAnsi="Times"/>
          <w:bCs/>
        </w:rPr>
        <w:t>Guideline on quality documentation for medicinal products when used with a medical device</w:t>
      </w:r>
      <w:r>
        <w:rPr>
          <w:rFonts w:ascii="Times" w:hAnsi="Times"/>
          <w:bCs/>
        </w:rPr>
        <w:t xml:space="preserve"> – European Medicines Agency guidance of 22 July 2021</w:t>
      </w:r>
      <w:r w:rsidR="00491EE5">
        <w:rPr>
          <w:rFonts w:ascii="Times" w:hAnsi="Times"/>
          <w:bCs/>
        </w:rPr>
        <w:t>.</w:t>
      </w:r>
    </w:p>
    <w:p w14:paraId="74C35FF7" w14:textId="617A1DAF" w:rsidR="00B30A4C" w:rsidRDefault="00B30A4C" w:rsidP="00751160">
      <w:pPr>
        <w:pStyle w:val="WPNormal"/>
        <w:numPr>
          <w:ilvl w:val="0"/>
          <w:numId w:val="26"/>
        </w:numPr>
        <w:rPr>
          <w:rFonts w:ascii="Times" w:hAnsi="Times"/>
          <w:bCs/>
        </w:rPr>
      </w:pPr>
      <w:r>
        <w:rPr>
          <w:rFonts w:ascii="Times" w:hAnsi="Times"/>
          <w:bCs/>
        </w:rPr>
        <w:t>Requesting FDA Feedback on Combination Products – FDA Guidance of December 2020</w:t>
      </w:r>
      <w:r w:rsidR="00491EE5">
        <w:rPr>
          <w:rFonts w:ascii="Times" w:hAnsi="Times"/>
          <w:bCs/>
        </w:rPr>
        <w:t>.</w:t>
      </w:r>
    </w:p>
    <w:p w14:paraId="5A2FC235" w14:textId="24D1A854" w:rsidR="00462BF6" w:rsidRPr="00462BF6" w:rsidRDefault="00462BF6" w:rsidP="00147DC3">
      <w:pPr>
        <w:pStyle w:val="WPNormal"/>
        <w:numPr>
          <w:ilvl w:val="0"/>
          <w:numId w:val="26"/>
        </w:numPr>
        <w:rPr>
          <w:rFonts w:ascii="Times" w:hAnsi="Times"/>
          <w:bCs/>
        </w:rPr>
      </w:pPr>
      <w:r w:rsidRPr="00462BF6">
        <w:rPr>
          <w:rFonts w:ascii="Times" w:hAnsi="Times"/>
          <w:bCs/>
        </w:rPr>
        <w:t>Principles of Premarket Pathways for Combination Products</w:t>
      </w:r>
      <w:r>
        <w:rPr>
          <w:rFonts w:ascii="Times" w:hAnsi="Times"/>
          <w:bCs/>
        </w:rPr>
        <w:t xml:space="preserve"> – Draft FDA Guidance of February 2019</w:t>
      </w:r>
      <w:r w:rsidR="00491EE5">
        <w:rPr>
          <w:rFonts w:ascii="Times" w:hAnsi="Times"/>
          <w:bCs/>
        </w:rPr>
        <w:t>.</w:t>
      </w:r>
    </w:p>
    <w:p w14:paraId="649E98C8" w14:textId="1A336B9F" w:rsidR="00462BF6" w:rsidRPr="00462BF6" w:rsidRDefault="00462BF6" w:rsidP="005F7300">
      <w:pPr>
        <w:pStyle w:val="WPNormal"/>
        <w:numPr>
          <w:ilvl w:val="0"/>
          <w:numId w:val="26"/>
        </w:numPr>
        <w:rPr>
          <w:rFonts w:ascii="Times" w:hAnsi="Times"/>
          <w:bCs/>
        </w:rPr>
      </w:pPr>
      <w:proofErr w:type="spellStart"/>
      <w:r w:rsidRPr="00462BF6">
        <w:rPr>
          <w:rFonts w:ascii="Times" w:hAnsi="Times"/>
          <w:bCs/>
        </w:rPr>
        <w:t>Postmarketing</w:t>
      </w:r>
      <w:proofErr w:type="spellEnd"/>
      <w:r w:rsidRPr="00462BF6">
        <w:rPr>
          <w:rFonts w:ascii="Times" w:hAnsi="Times"/>
          <w:bCs/>
        </w:rPr>
        <w:t xml:space="preserve"> Safety Reporting for Combination Products </w:t>
      </w:r>
      <w:r>
        <w:rPr>
          <w:rFonts w:ascii="Times" w:hAnsi="Times"/>
          <w:bCs/>
        </w:rPr>
        <w:t>– FDA Guidance of July 2019</w:t>
      </w:r>
      <w:r w:rsidR="00491EE5">
        <w:rPr>
          <w:rFonts w:ascii="Times" w:hAnsi="Times"/>
          <w:bCs/>
        </w:rPr>
        <w:t>.</w:t>
      </w:r>
      <w:r>
        <w:rPr>
          <w:rFonts w:ascii="Times" w:hAnsi="Times"/>
          <w:bCs/>
        </w:rPr>
        <w:t xml:space="preserve"> </w:t>
      </w:r>
    </w:p>
    <w:p w14:paraId="2E9EC822" w14:textId="41B462B7" w:rsidR="00B30A4C" w:rsidRPr="00B30A4C" w:rsidRDefault="00B30A4C" w:rsidP="00FF5BFB">
      <w:pPr>
        <w:pStyle w:val="WPNormal"/>
        <w:numPr>
          <w:ilvl w:val="0"/>
          <w:numId w:val="26"/>
        </w:numPr>
        <w:rPr>
          <w:rFonts w:ascii="Times" w:hAnsi="Times"/>
          <w:bCs/>
        </w:rPr>
      </w:pPr>
      <w:r w:rsidRPr="00B30A4C">
        <w:rPr>
          <w:rFonts w:ascii="Times" w:hAnsi="Times"/>
          <w:bCs/>
        </w:rPr>
        <w:t>Current Good Manufacturing Practice Requirements for Combination Products</w:t>
      </w:r>
      <w:r>
        <w:rPr>
          <w:rFonts w:ascii="Times" w:hAnsi="Times"/>
          <w:bCs/>
        </w:rPr>
        <w:t xml:space="preserve"> – FDA Guidance of </w:t>
      </w:r>
      <w:r w:rsidR="00462BF6">
        <w:rPr>
          <w:rFonts w:ascii="Times" w:hAnsi="Times"/>
          <w:bCs/>
        </w:rPr>
        <w:t>January 2017</w:t>
      </w:r>
      <w:r w:rsidR="00491EE5">
        <w:rPr>
          <w:rFonts w:ascii="Times" w:hAnsi="Times"/>
          <w:bCs/>
        </w:rPr>
        <w:t>.</w:t>
      </w:r>
    </w:p>
    <w:p w14:paraId="5D0030B0" w14:textId="6B58A893" w:rsidR="008873AB" w:rsidRDefault="008873AB" w:rsidP="008873AB">
      <w:pPr>
        <w:pStyle w:val="WPNormal"/>
        <w:ind w:left="360"/>
        <w:rPr>
          <w:rFonts w:ascii="Times" w:hAnsi="Times"/>
          <w:bCs/>
        </w:rPr>
      </w:pPr>
    </w:p>
    <w:p w14:paraId="51FDEBD5" w14:textId="77777777" w:rsidR="00BF3311" w:rsidRDefault="00BF3311" w:rsidP="00634A75">
      <w:pPr>
        <w:pStyle w:val="WPNormal"/>
        <w:ind w:right="-900"/>
        <w:rPr>
          <w:rFonts w:ascii="Times" w:hAnsi="Times"/>
          <w:bCs/>
        </w:rPr>
      </w:pPr>
    </w:p>
    <w:p w14:paraId="4C2E219C" w14:textId="77777777" w:rsidR="00D84539" w:rsidRDefault="00D84539" w:rsidP="00634A75">
      <w:pPr>
        <w:pStyle w:val="WPNormal"/>
        <w:rPr>
          <w:rFonts w:ascii="Times" w:hAnsi="Times"/>
          <w:b/>
        </w:rPr>
      </w:pPr>
      <w:r w:rsidRPr="001B04FF">
        <w:rPr>
          <w:rFonts w:ascii="Times" w:hAnsi="Times"/>
          <w:b/>
        </w:rPr>
        <w:t>Academic Integrity</w:t>
      </w:r>
    </w:p>
    <w:p w14:paraId="20CC37BD" w14:textId="77777777" w:rsidR="001B04FF" w:rsidRDefault="001B04FF" w:rsidP="00634A75">
      <w:pPr>
        <w:pStyle w:val="WPNormal"/>
        <w:rPr>
          <w:rFonts w:ascii="Times" w:hAnsi="Times"/>
          <w:b/>
        </w:rPr>
      </w:pPr>
    </w:p>
    <w:p w14:paraId="55830DDF" w14:textId="1D22ABE3" w:rsidR="0014634C" w:rsidRPr="008873AB" w:rsidRDefault="008873AB" w:rsidP="00634A75">
      <w:pPr>
        <w:pStyle w:val="WPNormal"/>
        <w:rPr>
          <w:rFonts w:ascii="Times" w:hAnsi="Times"/>
          <w:bCs/>
        </w:rPr>
      </w:pPr>
      <w:r w:rsidRPr="008873AB">
        <w:rPr>
          <w:rFonts w:ascii="Times" w:hAnsi="Times"/>
          <w:bCs/>
        </w:rPr>
        <w:t xml:space="preserve">Students are expected to determine the regulatory route that applies to the product of their choosing and to define the outline of the required proof-of-concept study by themselves. If working on a project that is related to a company they are </w:t>
      </w:r>
      <w:r w:rsidR="00E54E89">
        <w:rPr>
          <w:rFonts w:ascii="Times" w:hAnsi="Times"/>
          <w:bCs/>
        </w:rPr>
        <w:t>employed by</w:t>
      </w:r>
      <w:r w:rsidRPr="008873AB">
        <w:rPr>
          <w:rFonts w:ascii="Times" w:hAnsi="Times"/>
          <w:bCs/>
        </w:rPr>
        <w:t xml:space="preserve"> or to their own startup, </w:t>
      </w:r>
      <w:r w:rsidR="00E54E89">
        <w:rPr>
          <w:rFonts w:ascii="Times" w:hAnsi="Times"/>
          <w:bCs/>
        </w:rPr>
        <w:t xml:space="preserve">students must </w:t>
      </w:r>
      <w:r w:rsidRPr="008873AB">
        <w:rPr>
          <w:rFonts w:ascii="Times" w:hAnsi="Times"/>
          <w:bCs/>
        </w:rPr>
        <w:t xml:space="preserve">not use any materials created by company employees or by external consultants. It is far better to err and to learn than to copy and remain ignorant. </w:t>
      </w:r>
    </w:p>
    <w:p w14:paraId="1FB81767" w14:textId="77777777" w:rsidR="0014634C" w:rsidRDefault="0014634C" w:rsidP="00634A75">
      <w:pPr>
        <w:pStyle w:val="WPNormal"/>
        <w:rPr>
          <w:rFonts w:ascii="Times" w:hAnsi="Times"/>
          <w:b/>
        </w:rPr>
      </w:pPr>
    </w:p>
    <w:p w14:paraId="7CC9E6BF" w14:textId="77777777" w:rsidR="00F376EC" w:rsidRDefault="00F376EC" w:rsidP="00634A75">
      <w:pPr>
        <w:pStyle w:val="WPNormal"/>
        <w:rPr>
          <w:rFonts w:ascii="Times" w:hAnsi="Times"/>
          <w:bCs/>
        </w:rPr>
      </w:pPr>
    </w:p>
    <w:p w14:paraId="68A6178F" w14:textId="77777777" w:rsidR="00D84539" w:rsidRDefault="00D84539" w:rsidP="00634A75">
      <w:pPr>
        <w:pStyle w:val="WPNormal"/>
        <w:rPr>
          <w:rFonts w:ascii="Times" w:hAnsi="Times"/>
          <w:bCs/>
        </w:rPr>
      </w:pPr>
    </w:p>
    <w:sectPr w:rsidR="00D84539" w:rsidSect="00461D77">
      <w:headerReference w:type="default" r:id="rId16"/>
      <w:footerReference w:type="default" r:id="rId17"/>
      <w:type w:val="continuous"/>
      <w:pgSz w:w="12240" w:h="15840"/>
      <w:pgMar w:top="540" w:right="1440" w:bottom="1350" w:left="1440"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13B09" w16cex:dateUtc="2021-10-13T08:01:00Z"/>
  <w16cex:commentExtensible w16cex:durableId="25113362" w16cex:dateUtc="2021-10-13T07: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57B68" w14:textId="77777777" w:rsidR="00A12E81" w:rsidRDefault="00A12E81">
      <w:r>
        <w:separator/>
      </w:r>
    </w:p>
  </w:endnote>
  <w:endnote w:type="continuationSeparator" w:id="0">
    <w:p w14:paraId="7764C291" w14:textId="77777777" w:rsidR="00A12E81" w:rsidRDefault="00A1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ahoma"/>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onaco">
    <w:altName w:val="Courier New"/>
    <w:charset w:val="00"/>
    <w:family w:val="auto"/>
    <w:pitch w:val="variable"/>
    <w:sig w:usb0="A00002FF" w:usb1="500039FB" w:usb2="00000000" w:usb3="00000000" w:csb0="00000197" w:csb1="00000000"/>
  </w:font>
  <w:font w:name="Geneva">
    <w:charset w:val="00"/>
    <w:family w:val="swiss"/>
    <w:pitch w:val="variable"/>
    <w:sig w:usb0="E00002FF" w:usb1="5200205F" w:usb2="00A0C000" w:usb3="00000000" w:csb0="000001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BB95B" w14:textId="05AE0B7C" w:rsidR="008A26F0" w:rsidRDefault="00DF3274">
    <w:pPr>
      <w:pStyle w:val="WPFooter"/>
      <w:jc w:val="center"/>
      <w:rPr>
        <w:rFonts w:ascii="Times" w:hAnsi="Times"/>
        <w:sz w:val="18"/>
      </w:rPr>
    </w:pPr>
    <w:r>
      <w:rPr>
        <w:rStyle w:val="a5"/>
        <w:rFonts w:ascii="Times" w:hAnsi="Times"/>
      </w:rPr>
      <w:fldChar w:fldCharType="begin"/>
    </w:r>
    <w:r w:rsidR="008A26F0">
      <w:rPr>
        <w:rStyle w:val="a5"/>
        <w:rFonts w:ascii="Times" w:hAnsi="Times"/>
      </w:rPr>
      <w:instrText xml:space="preserve"> PAGE </w:instrText>
    </w:r>
    <w:r>
      <w:rPr>
        <w:rStyle w:val="a5"/>
        <w:rFonts w:ascii="Times" w:hAnsi="Times"/>
      </w:rPr>
      <w:fldChar w:fldCharType="separate"/>
    </w:r>
    <w:r w:rsidR="00D560ED">
      <w:rPr>
        <w:rStyle w:val="a5"/>
        <w:rFonts w:ascii="Times" w:hAnsi="Times"/>
        <w:noProof/>
      </w:rPr>
      <w:t>3</w:t>
    </w:r>
    <w:r>
      <w:rPr>
        <w:rStyle w:val="a5"/>
        <w:rFonts w:ascii="Times" w:hAnsi="Tim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92DEB" w14:textId="77777777" w:rsidR="00A12E81" w:rsidRDefault="00A12E81">
      <w:r>
        <w:separator/>
      </w:r>
    </w:p>
  </w:footnote>
  <w:footnote w:type="continuationSeparator" w:id="0">
    <w:p w14:paraId="3D706D5C" w14:textId="77777777" w:rsidR="00A12E81" w:rsidRDefault="00A1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2064A" w14:textId="77777777" w:rsidR="00EF1ACC" w:rsidRDefault="00EF1ACC">
    <w:pPr>
      <w:pStyle w:val="a3"/>
    </w:pPr>
    <w:r>
      <w:rPr>
        <w:noProof/>
        <w:lang w:bidi="he-IL"/>
      </w:rPr>
      <w:drawing>
        <wp:inline distT="0" distB="0" distL="0" distR="0" wp14:anchorId="788A803C" wp14:editId="746674B5">
          <wp:extent cx="3861765" cy="791845"/>
          <wp:effectExtent l="0" t="0" r="5715" b="8255"/>
          <wp:docPr id="141" name="תמונה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eng.jpg"/>
                  <pic:cNvPicPr/>
                </pic:nvPicPr>
                <pic:blipFill>
                  <a:blip r:embed="rId1">
                    <a:extLst>
                      <a:ext uri="{28A0092B-C50C-407E-A947-70E740481C1C}">
                        <a14:useLocalDpi xmlns:a14="http://schemas.microsoft.com/office/drawing/2010/main" val="0"/>
                      </a:ext>
                    </a:extLst>
                  </a:blip>
                  <a:stretch>
                    <a:fillRect/>
                  </a:stretch>
                </pic:blipFill>
                <pic:spPr>
                  <a:xfrm>
                    <a:off x="0" y="0"/>
                    <a:ext cx="3861765" cy="791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BF6"/>
    <w:multiLevelType w:val="hybridMultilevel"/>
    <w:tmpl w:val="D688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F326D"/>
    <w:multiLevelType w:val="hybridMultilevel"/>
    <w:tmpl w:val="5C3E2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C007F9"/>
    <w:multiLevelType w:val="hybridMultilevel"/>
    <w:tmpl w:val="F4CA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47DF1"/>
    <w:multiLevelType w:val="multilevel"/>
    <w:tmpl w:val="B950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53C75"/>
    <w:multiLevelType w:val="hybridMultilevel"/>
    <w:tmpl w:val="1152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60E6"/>
    <w:multiLevelType w:val="hybridMultilevel"/>
    <w:tmpl w:val="3774D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6078C0"/>
    <w:multiLevelType w:val="hybridMultilevel"/>
    <w:tmpl w:val="6592F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154C8"/>
    <w:multiLevelType w:val="hybridMultilevel"/>
    <w:tmpl w:val="A46EA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F82D85"/>
    <w:multiLevelType w:val="hybridMultilevel"/>
    <w:tmpl w:val="0154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F7A54"/>
    <w:multiLevelType w:val="hybridMultilevel"/>
    <w:tmpl w:val="66A06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3B27B0"/>
    <w:multiLevelType w:val="hybridMultilevel"/>
    <w:tmpl w:val="2D800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8D0730"/>
    <w:multiLevelType w:val="hybridMultilevel"/>
    <w:tmpl w:val="AB322AA8"/>
    <w:lvl w:ilvl="0" w:tplc="0409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4A7F3A84"/>
    <w:multiLevelType w:val="hybridMultilevel"/>
    <w:tmpl w:val="805EFB44"/>
    <w:lvl w:ilvl="0" w:tplc="721E6B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A1B77"/>
    <w:multiLevelType w:val="multilevel"/>
    <w:tmpl w:val="A12C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C01B0F"/>
    <w:multiLevelType w:val="hybridMultilevel"/>
    <w:tmpl w:val="EC6A530C"/>
    <w:lvl w:ilvl="0" w:tplc="81DC4D7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A60FA"/>
    <w:multiLevelType w:val="hybridMultilevel"/>
    <w:tmpl w:val="08ECA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4075F8"/>
    <w:multiLevelType w:val="hybridMultilevel"/>
    <w:tmpl w:val="1842E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9F6E5E"/>
    <w:multiLevelType w:val="hybridMultilevel"/>
    <w:tmpl w:val="B0AE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150049"/>
    <w:multiLevelType w:val="multilevel"/>
    <w:tmpl w:val="3648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D0FDF"/>
    <w:multiLevelType w:val="hybridMultilevel"/>
    <w:tmpl w:val="05DAE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41251D"/>
    <w:multiLevelType w:val="hybridMultilevel"/>
    <w:tmpl w:val="F6B88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542A15"/>
    <w:multiLevelType w:val="hybridMultilevel"/>
    <w:tmpl w:val="672EA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D24CDF"/>
    <w:multiLevelType w:val="hybridMultilevel"/>
    <w:tmpl w:val="A46AEF1E"/>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16248C"/>
    <w:multiLevelType w:val="hybridMultilevel"/>
    <w:tmpl w:val="93E8B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6C4679"/>
    <w:multiLevelType w:val="hybridMultilevel"/>
    <w:tmpl w:val="C446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E5228"/>
    <w:multiLevelType w:val="hybridMultilevel"/>
    <w:tmpl w:val="FF74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94F2B"/>
    <w:multiLevelType w:val="hybridMultilevel"/>
    <w:tmpl w:val="EA7C5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EE5B6C"/>
    <w:multiLevelType w:val="hybridMultilevel"/>
    <w:tmpl w:val="08C4C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1E034D"/>
    <w:multiLevelType w:val="hybridMultilevel"/>
    <w:tmpl w:val="A698A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CB63AA"/>
    <w:multiLevelType w:val="hybridMultilevel"/>
    <w:tmpl w:val="53C4DFC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7DF903F3"/>
    <w:multiLevelType w:val="multilevel"/>
    <w:tmpl w:val="6AA6D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5"/>
  </w:num>
  <w:num w:numId="3">
    <w:abstractNumId w:val="14"/>
  </w:num>
  <w:num w:numId="4">
    <w:abstractNumId w:val="6"/>
  </w:num>
  <w:num w:numId="5">
    <w:abstractNumId w:val="12"/>
  </w:num>
  <w:num w:numId="6">
    <w:abstractNumId w:val="8"/>
  </w:num>
  <w:num w:numId="7">
    <w:abstractNumId w:val="22"/>
  </w:num>
  <w:num w:numId="8">
    <w:abstractNumId w:val="13"/>
  </w:num>
  <w:num w:numId="9">
    <w:abstractNumId w:val="30"/>
  </w:num>
  <w:num w:numId="10">
    <w:abstractNumId w:val="2"/>
  </w:num>
  <w:num w:numId="11">
    <w:abstractNumId w:val="3"/>
  </w:num>
  <w:num w:numId="12">
    <w:abstractNumId w:val="11"/>
  </w:num>
  <w:num w:numId="13">
    <w:abstractNumId w:val="15"/>
  </w:num>
  <w:num w:numId="14">
    <w:abstractNumId w:val="28"/>
  </w:num>
  <w:num w:numId="15">
    <w:abstractNumId w:val="17"/>
  </w:num>
  <w:num w:numId="16">
    <w:abstractNumId w:val="27"/>
  </w:num>
  <w:num w:numId="17">
    <w:abstractNumId w:val="26"/>
  </w:num>
  <w:num w:numId="18">
    <w:abstractNumId w:val="23"/>
  </w:num>
  <w:num w:numId="19">
    <w:abstractNumId w:val="1"/>
  </w:num>
  <w:num w:numId="20">
    <w:abstractNumId w:val="20"/>
  </w:num>
  <w:num w:numId="21">
    <w:abstractNumId w:val="21"/>
  </w:num>
  <w:num w:numId="22">
    <w:abstractNumId w:val="4"/>
  </w:num>
  <w:num w:numId="23">
    <w:abstractNumId w:val="18"/>
  </w:num>
  <w:num w:numId="24">
    <w:abstractNumId w:val="24"/>
  </w:num>
  <w:num w:numId="25">
    <w:abstractNumId w:val="9"/>
  </w:num>
  <w:num w:numId="26">
    <w:abstractNumId w:val="10"/>
  </w:num>
  <w:num w:numId="27">
    <w:abstractNumId w:val="5"/>
  </w:num>
  <w:num w:numId="28">
    <w:abstractNumId w:val="19"/>
  </w:num>
  <w:num w:numId="29">
    <w:abstractNumId w:val="16"/>
  </w:num>
  <w:num w:numId="30">
    <w:abstractNumId w:val="2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4A6"/>
    <w:rsid w:val="000201EF"/>
    <w:rsid w:val="0002439B"/>
    <w:rsid w:val="000342B4"/>
    <w:rsid w:val="00051864"/>
    <w:rsid w:val="00070397"/>
    <w:rsid w:val="000749F9"/>
    <w:rsid w:val="00083D22"/>
    <w:rsid w:val="000C40A2"/>
    <w:rsid w:val="000C49CC"/>
    <w:rsid w:val="000D2F97"/>
    <w:rsid w:val="000E46A2"/>
    <w:rsid w:val="000F19B1"/>
    <w:rsid w:val="000F5A66"/>
    <w:rsid w:val="0013317D"/>
    <w:rsid w:val="0014634C"/>
    <w:rsid w:val="0017105F"/>
    <w:rsid w:val="0017436B"/>
    <w:rsid w:val="00176C1B"/>
    <w:rsid w:val="00177B79"/>
    <w:rsid w:val="001816AE"/>
    <w:rsid w:val="00193A05"/>
    <w:rsid w:val="001A52D4"/>
    <w:rsid w:val="001A565E"/>
    <w:rsid w:val="001B04FF"/>
    <w:rsid w:val="001B21EA"/>
    <w:rsid w:val="00224062"/>
    <w:rsid w:val="002247F6"/>
    <w:rsid w:val="00224A63"/>
    <w:rsid w:val="0023298E"/>
    <w:rsid w:val="00240CFA"/>
    <w:rsid w:val="002516E0"/>
    <w:rsid w:val="00252D64"/>
    <w:rsid w:val="002544D8"/>
    <w:rsid w:val="00266CC0"/>
    <w:rsid w:val="002759D3"/>
    <w:rsid w:val="0029542B"/>
    <w:rsid w:val="002A3974"/>
    <w:rsid w:val="002B4DBE"/>
    <w:rsid w:val="002E792C"/>
    <w:rsid w:val="00331B65"/>
    <w:rsid w:val="0033658A"/>
    <w:rsid w:val="00341209"/>
    <w:rsid w:val="00344F9B"/>
    <w:rsid w:val="0035003C"/>
    <w:rsid w:val="00354E70"/>
    <w:rsid w:val="0035505E"/>
    <w:rsid w:val="00361769"/>
    <w:rsid w:val="00381C85"/>
    <w:rsid w:val="00385C2A"/>
    <w:rsid w:val="003B038B"/>
    <w:rsid w:val="003B0A4A"/>
    <w:rsid w:val="003C36B3"/>
    <w:rsid w:val="003C45C2"/>
    <w:rsid w:val="00401376"/>
    <w:rsid w:val="004039BC"/>
    <w:rsid w:val="004144BF"/>
    <w:rsid w:val="004520EB"/>
    <w:rsid w:val="00460870"/>
    <w:rsid w:val="00461D77"/>
    <w:rsid w:val="00462BF6"/>
    <w:rsid w:val="00463622"/>
    <w:rsid w:val="00474EE3"/>
    <w:rsid w:val="00491EE5"/>
    <w:rsid w:val="004B0E54"/>
    <w:rsid w:val="004C5CAB"/>
    <w:rsid w:val="00506878"/>
    <w:rsid w:val="00537CE4"/>
    <w:rsid w:val="00547102"/>
    <w:rsid w:val="00564696"/>
    <w:rsid w:val="00572957"/>
    <w:rsid w:val="00582301"/>
    <w:rsid w:val="00587021"/>
    <w:rsid w:val="005A6EAF"/>
    <w:rsid w:val="005C233E"/>
    <w:rsid w:val="005C7CAF"/>
    <w:rsid w:val="005F302B"/>
    <w:rsid w:val="005F653E"/>
    <w:rsid w:val="006008AB"/>
    <w:rsid w:val="00602332"/>
    <w:rsid w:val="00613034"/>
    <w:rsid w:val="00634A75"/>
    <w:rsid w:val="00637C13"/>
    <w:rsid w:val="006425EB"/>
    <w:rsid w:val="00653DB0"/>
    <w:rsid w:val="00657DF2"/>
    <w:rsid w:val="00662D99"/>
    <w:rsid w:val="00671324"/>
    <w:rsid w:val="006713F7"/>
    <w:rsid w:val="0067219B"/>
    <w:rsid w:val="006810F2"/>
    <w:rsid w:val="00687910"/>
    <w:rsid w:val="00690C64"/>
    <w:rsid w:val="006A0FC3"/>
    <w:rsid w:val="006B3B85"/>
    <w:rsid w:val="006B4201"/>
    <w:rsid w:val="006D7DEB"/>
    <w:rsid w:val="006E1B19"/>
    <w:rsid w:val="006F3755"/>
    <w:rsid w:val="006F5BC1"/>
    <w:rsid w:val="007074A6"/>
    <w:rsid w:val="0071492B"/>
    <w:rsid w:val="007176D1"/>
    <w:rsid w:val="00720D7A"/>
    <w:rsid w:val="00724BD6"/>
    <w:rsid w:val="007326FD"/>
    <w:rsid w:val="00755DED"/>
    <w:rsid w:val="00767E2B"/>
    <w:rsid w:val="00772355"/>
    <w:rsid w:val="00774912"/>
    <w:rsid w:val="00784DA8"/>
    <w:rsid w:val="007D497B"/>
    <w:rsid w:val="00830EAB"/>
    <w:rsid w:val="00831E29"/>
    <w:rsid w:val="0085690E"/>
    <w:rsid w:val="00860017"/>
    <w:rsid w:val="008613F6"/>
    <w:rsid w:val="00881DBD"/>
    <w:rsid w:val="008873AB"/>
    <w:rsid w:val="008A26F0"/>
    <w:rsid w:val="008B20EA"/>
    <w:rsid w:val="008C1FE3"/>
    <w:rsid w:val="008C4323"/>
    <w:rsid w:val="008D4E63"/>
    <w:rsid w:val="008D61A5"/>
    <w:rsid w:val="008F28BD"/>
    <w:rsid w:val="008F40CD"/>
    <w:rsid w:val="00912BFE"/>
    <w:rsid w:val="00920D9D"/>
    <w:rsid w:val="00935EB1"/>
    <w:rsid w:val="009510D3"/>
    <w:rsid w:val="00975EED"/>
    <w:rsid w:val="00976CC5"/>
    <w:rsid w:val="00982631"/>
    <w:rsid w:val="00982772"/>
    <w:rsid w:val="009859AE"/>
    <w:rsid w:val="00987D92"/>
    <w:rsid w:val="009A60CA"/>
    <w:rsid w:val="009B00F0"/>
    <w:rsid w:val="009B48DE"/>
    <w:rsid w:val="009B7991"/>
    <w:rsid w:val="009C267C"/>
    <w:rsid w:val="009E592E"/>
    <w:rsid w:val="00A007DA"/>
    <w:rsid w:val="00A05FB2"/>
    <w:rsid w:val="00A06760"/>
    <w:rsid w:val="00A12E81"/>
    <w:rsid w:val="00A17B0C"/>
    <w:rsid w:val="00A23DFA"/>
    <w:rsid w:val="00A34566"/>
    <w:rsid w:val="00A37458"/>
    <w:rsid w:val="00A50A73"/>
    <w:rsid w:val="00A510C8"/>
    <w:rsid w:val="00A55D87"/>
    <w:rsid w:val="00A902E0"/>
    <w:rsid w:val="00A909C2"/>
    <w:rsid w:val="00AA4860"/>
    <w:rsid w:val="00AA61C7"/>
    <w:rsid w:val="00AB07D3"/>
    <w:rsid w:val="00AB149F"/>
    <w:rsid w:val="00AE142B"/>
    <w:rsid w:val="00AF7F9F"/>
    <w:rsid w:val="00B04307"/>
    <w:rsid w:val="00B21261"/>
    <w:rsid w:val="00B30A4C"/>
    <w:rsid w:val="00B353C4"/>
    <w:rsid w:val="00B47BE4"/>
    <w:rsid w:val="00B5342C"/>
    <w:rsid w:val="00B54C9C"/>
    <w:rsid w:val="00B60818"/>
    <w:rsid w:val="00B6577E"/>
    <w:rsid w:val="00B73E90"/>
    <w:rsid w:val="00B7568B"/>
    <w:rsid w:val="00B92EEF"/>
    <w:rsid w:val="00B954AF"/>
    <w:rsid w:val="00BA6A40"/>
    <w:rsid w:val="00BA71D7"/>
    <w:rsid w:val="00BA753C"/>
    <w:rsid w:val="00BA7AFB"/>
    <w:rsid w:val="00BC156B"/>
    <w:rsid w:val="00BD2161"/>
    <w:rsid w:val="00BD65E3"/>
    <w:rsid w:val="00BF3311"/>
    <w:rsid w:val="00C02ABD"/>
    <w:rsid w:val="00C12AA1"/>
    <w:rsid w:val="00C3497C"/>
    <w:rsid w:val="00C3590F"/>
    <w:rsid w:val="00C36FBE"/>
    <w:rsid w:val="00C37068"/>
    <w:rsid w:val="00C4121E"/>
    <w:rsid w:val="00C66EDE"/>
    <w:rsid w:val="00C72E79"/>
    <w:rsid w:val="00C820C2"/>
    <w:rsid w:val="00C876E6"/>
    <w:rsid w:val="00C919E3"/>
    <w:rsid w:val="00C959EB"/>
    <w:rsid w:val="00CA1ADD"/>
    <w:rsid w:val="00CA59E4"/>
    <w:rsid w:val="00CB0B70"/>
    <w:rsid w:val="00CC7EB3"/>
    <w:rsid w:val="00CD510A"/>
    <w:rsid w:val="00CE5A3D"/>
    <w:rsid w:val="00CF4941"/>
    <w:rsid w:val="00D15EEA"/>
    <w:rsid w:val="00D370E5"/>
    <w:rsid w:val="00D4233E"/>
    <w:rsid w:val="00D560ED"/>
    <w:rsid w:val="00D56128"/>
    <w:rsid w:val="00D64F87"/>
    <w:rsid w:val="00D75433"/>
    <w:rsid w:val="00D80189"/>
    <w:rsid w:val="00D84539"/>
    <w:rsid w:val="00D85716"/>
    <w:rsid w:val="00DC76B9"/>
    <w:rsid w:val="00DF3274"/>
    <w:rsid w:val="00E000EF"/>
    <w:rsid w:val="00E237AD"/>
    <w:rsid w:val="00E3529C"/>
    <w:rsid w:val="00E54E89"/>
    <w:rsid w:val="00E64049"/>
    <w:rsid w:val="00E762E6"/>
    <w:rsid w:val="00E810DE"/>
    <w:rsid w:val="00E8434E"/>
    <w:rsid w:val="00E924B2"/>
    <w:rsid w:val="00E972CA"/>
    <w:rsid w:val="00EA2F3B"/>
    <w:rsid w:val="00EA779A"/>
    <w:rsid w:val="00EB0756"/>
    <w:rsid w:val="00EC33D1"/>
    <w:rsid w:val="00EC5910"/>
    <w:rsid w:val="00ED3F5E"/>
    <w:rsid w:val="00EE2692"/>
    <w:rsid w:val="00EF1ACC"/>
    <w:rsid w:val="00F0100D"/>
    <w:rsid w:val="00F1128A"/>
    <w:rsid w:val="00F13848"/>
    <w:rsid w:val="00F14AB9"/>
    <w:rsid w:val="00F21A4D"/>
    <w:rsid w:val="00F376EC"/>
    <w:rsid w:val="00F412E8"/>
    <w:rsid w:val="00F45AAA"/>
    <w:rsid w:val="00F45F39"/>
    <w:rsid w:val="00F64442"/>
    <w:rsid w:val="00F67EAC"/>
    <w:rsid w:val="00F74FB8"/>
    <w:rsid w:val="00F864A4"/>
    <w:rsid w:val="00FA00CF"/>
    <w:rsid w:val="00FA0EE8"/>
    <w:rsid w:val="00FA7897"/>
    <w:rsid w:val="00FB5911"/>
    <w:rsid w:val="00FC44D7"/>
    <w:rsid w:val="00FE7B7C"/>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B1060"/>
  <w15:docId w15:val="{D5CF0C51-7EEC-492B-8F49-7ADC7E6C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77E"/>
    <w:rPr>
      <w:rFonts w:ascii="Times" w:hAnsi="Times"/>
      <w:sz w:val="24"/>
      <w:lang w:bidi="ar-SA"/>
    </w:rPr>
  </w:style>
  <w:style w:type="paragraph" w:styleId="1">
    <w:name w:val="heading 1"/>
    <w:basedOn w:val="a"/>
    <w:link w:val="10"/>
    <w:uiPriority w:val="9"/>
    <w:qFormat/>
    <w:rsid w:val="00A37458"/>
    <w:pPr>
      <w:spacing w:before="100" w:beforeAutospacing="1" w:after="100" w:afterAutospacing="1"/>
      <w:outlineLvl w:val="0"/>
    </w:pPr>
    <w:rPr>
      <w:rFonts w:ascii="Times New Roman" w:hAnsi="Times New Roman"/>
      <w:b/>
      <w:bCs/>
      <w:kern w:val="36"/>
      <w:sz w:val="48"/>
      <w:szCs w:val="48"/>
      <w:lang w:bidi="he-IL"/>
    </w:rPr>
  </w:style>
  <w:style w:type="paragraph" w:styleId="2">
    <w:name w:val="heading 2"/>
    <w:basedOn w:val="a"/>
    <w:link w:val="20"/>
    <w:uiPriority w:val="9"/>
    <w:qFormat/>
    <w:rsid w:val="00A37458"/>
    <w:pPr>
      <w:spacing w:before="100" w:beforeAutospacing="1" w:after="100" w:afterAutospacing="1"/>
      <w:outlineLvl w:val="1"/>
    </w:pPr>
    <w:rPr>
      <w:rFonts w:ascii="Times New Roman" w:hAnsi="Times New Roman"/>
      <w:b/>
      <w:bCs/>
      <w:sz w:val="36"/>
      <w:szCs w:val="36"/>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PFooter">
    <w:name w:val="WP_Footer"/>
    <w:rsid w:val="00B6577E"/>
    <w:rPr>
      <w:rFonts w:ascii="Monaco" w:hAnsi="Monaco"/>
      <w:sz w:val="24"/>
      <w:lang w:bidi="ar-SA"/>
    </w:rPr>
  </w:style>
  <w:style w:type="paragraph" w:customStyle="1" w:styleId="WPNormal">
    <w:name w:val="WP_Normal"/>
    <w:basedOn w:val="WPWPDefaults"/>
    <w:rsid w:val="00B6577E"/>
    <w:rPr>
      <w:rFonts w:ascii="Monaco" w:hAnsi="Monaco"/>
    </w:rPr>
  </w:style>
  <w:style w:type="paragraph" w:customStyle="1" w:styleId="WPWPDefaults">
    <w:name w:val="WP_WP Defaults"/>
    <w:rsid w:val="00B6577E"/>
    <w:rPr>
      <w:rFonts w:ascii="Geneva" w:hAnsi="Geneva"/>
      <w:sz w:val="24"/>
      <w:lang w:bidi="ar-SA"/>
    </w:rPr>
  </w:style>
  <w:style w:type="paragraph" w:styleId="a3">
    <w:name w:val="header"/>
    <w:basedOn w:val="a"/>
    <w:rsid w:val="00B6577E"/>
    <w:pPr>
      <w:tabs>
        <w:tab w:val="center" w:pos="4320"/>
        <w:tab w:val="right" w:pos="8640"/>
      </w:tabs>
    </w:pPr>
  </w:style>
  <w:style w:type="paragraph" w:styleId="a4">
    <w:name w:val="footer"/>
    <w:basedOn w:val="a"/>
    <w:rsid w:val="00B6577E"/>
    <w:pPr>
      <w:tabs>
        <w:tab w:val="center" w:pos="4320"/>
        <w:tab w:val="right" w:pos="8640"/>
      </w:tabs>
    </w:pPr>
  </w:style>
  <w:style w:type="character" w:styleId="a5">
    <w:name w:val="page number"/>
    <w:basedOn w:val="a0"/>
    <w:rsid w:val="00B6577E"/>
  </w:style>
  <w:style w:type="paragraph" w:styleId="a6">
    <w:name w:val="Plain Text"/>
    <w:basedOn w:val="a"/>
    <w:rsid w:val="00B6577E"/>
    <w:rPr>
      <w:rFonts w:ascii="Courier" w:eastAsia="Times" w:hAnsi="Courier"/>
    </w:rPr>
  </w:style>
  <w:style w:type="character" w:styleId="Hyperlink">
    <w:name w:val="Hyperlink"/>
    <w:uiPriority w:val="99"/>
    <w:unhideWhenUsed/>
    <w:rsid w:val="00461D77"/>
    <w:rPr>
      <w:color w:val="0000FF"/>
      <w:u w:val="single"/>
    </w:rPr>
  </w:style>
  <w:style w:type="character" w:customStyle="1" w:styleId="il">
    <w:name w:val="il"/>
    <w:rsid w:val="00461D77"/>
  </w:style>
  <w:style w:type="paragraph" w:styleId="NormalWeb">
    <w:name w:val="Normal (Web)"/>
    <w:basedOn w:val="a"/>
    <w:uiPriority w:val="99"/>
    <w:unhideWhenUsed/>
    <w:rsid w:val="008A26F0"/>
    <w:pPr>
      <w:spacing w:before="100" w:beforeAutospacing="1" w:after="100" w:afterAutospacing="1"/>
    </w:pPr>
    <w:rPr>
      <w:sz w:val="20"/>
    </w:rPr>
  </w:style>
  <w:style w:type="table" w:styleId="a7">
    <w:name w:val="Table Grid"/>
    <w:basedOn w:val="a1"/>
    <w:uiPriority w:val="39"/>
    <w:rsid w:val="00C87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6E1B19"/>
    <w:rPr>
      <w:i/>
      <w:iCs/>
    </w:rPr>
  </w:style>
  <w:style w:type="character" w:styleId="a9">
    <w:name w:val="Strong"/>
    <w:basedOn w:val="a0"/>
    <w:uiPriority w:val="22"/>
    <w:qFormat/>
    <w:rsid w:val="006E1B19"/>
    <w:rPr>
      <w:b/>
      <w:bCs/>
    </w:rPr>
  </w:style>
  <w:style w:type="character" w:customStyle="1" w:styleId="10">
    <w:name w:val="כותרת 1 תו"/>
    <w:basedOn w:val="a0"/>
    <w:link w:val="1"/>
    <w:uiPriority w:val="9"/>
    <w:rsid w:val="00A37458"/>
    <w:rPr>
      <w:rFonts w:ascii="Times New Roman" w:hAnsi="Times New Roman"/>
      <w:b/>
      <w:bCs/>
      <w:kern w:val="36"/>
      <w:sz w:val="48"/>
      <w:szCs w:val="48"/>
    </w:rPr>
  </w:style>
  <w:style w:type="character" w:customStyle="1" w:styleId="20">
    <w:name w:val="כותרת 2 תו"/>
    <w:basedOn w:val="a0"/>
    <w:link w:val="2"/>
    <w:uiPriority w:val="9"/>
    <w:rsid w:val="00A37458"/>
    <w:rPr>
      <w:rFonts w:ascii="Times New Roman" w:hAnsi="Times New Roman"/>
      <w:b/>
      <w:bCs/>
      <w:sz w:val="36"/>
      <w:szCs w:val="36"/>
    </w:rPr>
  </w:style>
  <w:style w:type="paragraph" w:customStyle="1" w:styleId="Default">
    <w:name w:val="Default"/>
    <w:rsid w:val="00A909C2"/>
    <w:pPr>
      <w:autoSpaceDE w:val="0"/>
      <w:autoSpaceDN w:val="0"/>
      <w:adjustRightInd w:val="0"/>
    </w:pPr>
    <w:rPr>
      <w:rFonts w:ascii="Times New Roman" w:hAnsi="Times New Roman"/>
      <w:color w:val="000000"/>
      <w:sz w:val="24"/>
      <w:szCs w:val="24"/>
    </w:rPr>
  </w:style>
  <w:style w:type="paragraph" w:styleId="aa">
    <w:name w:val="List Paragraph"/>
    <w:basedOn w:val="a"/>
    <w:uiPriority w:val="34"/>
    <w:qFormat/>
    <w:rsid w:val="007176D1"/>
    <w:pPr>
      <w:ind w:left="720"/>
      <w:contextualSpacing/>
    </w:pPr>
  </w:style>
  <w:style w:type="character" w:customStyle="1" w:styleId="UnresolvedMention1">
    <w:name w:val="Unresolved Mention1"/>
    <w:basedOn w:val="a0"/>
    <w:uiPriority w:val="99"/>
    <w:semiHidden/>
    <w:unhideWhenUsed/>
    <w:rsid w:val="00975EED"/>
    <w:rPr>
      <w:color w:val="605E5C"/>
      <w:shd w:val="clear" w:color="auto" w:fill="E1DFDD"/>
    </w:rPr>
  </w:style>
  <w:style w:type="character" w:styleId="ab">
    <w:name w:val="annotation reference"/>
    <w:basedOn w:val="a0"/>
    <w:uiPriority w:val="99"/>
    <w:semiHidden/>
    <w:unhideWhenUsed/>
    <w:rsid w:val="00602332"/>
    <w:rPr>
      <w:sz w:val="16"/>
      <w:szCs w:val="16"/>
    </w:rPr>
  </w:style>
  <w:style w:type="paragraph" w:styleId="ac">
    <w:name w:val="annotation text"/>
    <w:basedOn w:val="a"/>
    <w:link w:val="ad"/>
    <w:uiPriority w:val="99"/>
    <w:semiHidden/>
    <w:unhideWhenUsed/>
    <w:rsid w:val="00602332"/>
    <w:rPr>
      <w:sz w:val="20"/>
    </w:rPr>
  </w:style>
  <w:style w:type="character" w:customStyle="1" w:styleId="ad">
    <w:name w:val="טקסט הערה תו"/>
    <w:basedOn w:val="a0"/>
    <w:link w:val="ac"/>
    <w:uiPriority w:val="99"/>
    <w:semiHidden/>
    <w:rsid w:val="00602332"/>
    <w:rPr>
      <w:rFonts w:ascii="Times" w:hAnsi="Times"/>
      <w:lang w:bidi="ar-SA"/>
    </w:rPr>
  </w:style>
  <w:style w:type="paragraph" w:styleId="ae">
    <w:name w:val="annotation subject"/>
    <w:basedOn w:val="ac"/>
    <w:next w:val="ac"/>
    <w:link w:val="af"/>
    <w:uiPriority w:val="99"/>
    <w:semiHidden/>
    <w:unhideWhenUsed/>
    <w:rsid w:val="00602332"/>
    <w:rPr>
      <w:b/>
      <w:bCs/>
    </w:rPr>
  </w:style>
  <w:style w:type="character" w:customStyle="1" w:styleId="af">
    <w:name w:val="נושא הערה תו"/>
    <w:basedOn w:val="ad"/>
    <w:link w:val="ae"/>
    <w:uiPriority w:val="99"/>
    <w:semiHidden/>
    <w:rsid w:val="00602332"/>
    <w:rPr>
      <w:rFonts w:ascii="Times" w:hAnsi="Times"/>
      <w:b/>
      <w:bCs/>
      <w:lang w:bidi="ar-SA"/>
    </w:rPr>
  </w:style>
  <w:style w:type="paragraph" w:styleId="af0">
    <w:name w:val="Balloon Text"/>
    <w:basedOn w:val="a"/>
    <w:link w:val="af1"/>
    <w:uiPriority w:val="99"/>
    <w:semiHidden/>
    <w:unhideWhenUsed/>
    <w:rsid w:val="008C1FE3"/>
    <w:rPr>
      <w:rFonts w:ascii="Segoe UI" w:hAnsi="Segoe UI" w:cs="Segoe UI"/>
      <w:sz w:val="18"/>
      <w:szCs w:val="18"/>
    </w:rPr>
  </w:style>
  <w:style w:type="character" w:customStyle="1" w:styleId="af1">
    <w:name w:val="טקסט בלונים תו"/>
    <w:basedOn w:val="a0"/>
    <w:link w:val="af0"/>
    <w:uiPriority w:val="99"/>
    <w:semiHidden/>
    <w:rsid w:val="008C1FE3"/>
    <w:rPr>
      <w:rFonts w:ascii="Segoe UI" w:hAnsi="Segoe UI" w:cs="Segoe UI"/>
      <w:sz w:val="18"/>
      <w:szCs w:val="18"/>
      <w:lang w:bidi="ar-SA"/>
    </w:rPr>
  </w:style>
  <w:style w:type="character" w:styleId="af2">
    <w:name w:val="Unresolved Mention"/>
    <w:basedOn w:val="a0"/>
    <w:uiPriority w:val="99"/>
    <w:semiHidden/>
    <w:unhideWhenUsed/>
    <w:rsid w:val="00720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3962">
      <w:bodyDiv w:val="1"/>
      <w:marLeft w:val="0"/>
      <w:marRight w:val="0"/>
      <w:marTop w:val="0"/>
      <w:marBottom w:val="0"/>
      <w:divBdr>
        <w:top w:val="none" w:sz="0" w:space="0" w:color="auto"/>
        <w:left w:val="none" w:sz="0" w:space="0" w:color="auto"/>
        <w:bottom w:val="none" w:sz="0" w:space="0" w:color="auto"/>
        <w:right w:val="none" w:sz="0" w:space="0" w:color="auto"/>
      </w:divBdr>
    </w:div>
    <w:div w:id="492065466">
      <w:bodyDiv w:val="1"/>
      <w:marLeft w:val="0"/>
      <w:marRight w:val="0"/>
      <w:marTop w:val="0"/>
      <w:marBottom w:val="0"/>
      <w:divBdr>
        <w:top w:val="none" w:sz="0" w:space="0" w:color="auto"/>
        <w:left w:val="none" w:sz="0" w:space="0" w:color="auto"/>
        <w:bottom w:val="none" w:sz="0" w:space="0" w:color="auto"/>
        <w:right w:val="none" w:sz="0" w:space="0" w:color="auto"/>
      </w:divBdr>
    </w:div>
    <w:div w:id="977147799">
      <w:bodyDiv w:val="1"/>
      <w:marLeft w:val="0"/>
      <w:marRight w:val="0"/>
      <w:marTop w:val="0"/>
      <w:marBottom w:val="0"/>
      <w:divBdr>
        <w:top w:val="none" w:sz="0" w:space="0" w:color="auto"/>
        <w:left w:val="none" w:sz="0" w:space="0" w:color="auto"/>
        <w:bottom w:val="none" w:sz="0" w:space="0" w:color="auto"/>
        <w:right w:val="none" w:sz="0" w:space="0" w:color="auto"/>
      </w:divBdr>
      <w:divsChild>
        <w:div w:id="1009411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747126">
      <w:bodyDiv w:val="1"/>
      <w:marLeft w:val="0"/>
      <w:marRight w:val="0"/>
      <w:marTop w:val="0"/>
      <w:marBottom w:val="0"/>
      <w:divBdr>
        <w:top w:val="none" w:sz="0" w:space="0" w:color="auto"/>
        <w:left w:val="none" w:sz="0" w:space="0" w:color="auto"/>
        <w:bottom w:val="none" w:sz="0" w:space="0" w:color="auto"/>
        <w:right w:val="none" w:sz="0" w:space="0" w:color="auto"/>
      </w:divBdr>
    </w:div>
    <w:div w:id="1331634873">
      <w:bodyDiv w:val="1"/>
      <w:marLeft w:val="0"/>
      <w:marRight w:val="0"/>
      <w:marTop w:val="0"/>
      <w:marBottom w:val="0"/>
      <w:divBdr>
        <w:top w:val="none" w:sz="0" w:space="0" w:color="auto"/>
        <w:left w:val="none" w:sz="0" w:space="0" w:color="auto"/>
        <w:bottom w:val="none" w:sz="0" w:space="0" w:color="auto"/>
        <w:right w:val="none" w:sz="0" w:space="0" w:color="auto"/>
      </w:divBdr>
      <w:divsChild>
        <w:div w:id="364719490">
          <w:marLeft w:val="0"/>
          <w:marRight w:val="0"/>
          <w:marTop w:val="0"/>
          <w:marBottom w:val="0"/>
          <w:divBdr>
            <w:top w:val="none" w:sz="0" w:space="0" w:color="auto"/>
            <w:left w:val="none" w:sz="0" w:space="0" w:color="auto"/>
            <w:bottom w:val="none" w:sz="0" w:space="0" w:color="auto"/>
            <w:right w:val="none" w:sz="0" w:space="0" w:color="auto"/>
          </w:divBdr>
        </w:div>
        <w:div w:id="1610893646">
          <w:marLeft w:val="0"/>
          <w:marRight w:val="0"/>
          <w:marTop w:val="0"/>
          <w:marBottom w:val="0"/>
          <w:divBdr>
            <w:top w:val="none" w:sz="0" w:space="0" w:color="auto"/>
            <w:left w:val="none" w:sz="0" w:space="0" w:color="auto"/>
            <w:bottom w:val="none" w:sz="0" w:space="0" w:color="auto"/>
            <w:right w:val="none" w:sz="0" w:space="0" w:color="auto"/>
          </w:divBdr>
        </w:div>
      </w:divsChild>
    </w:div>
    <w:div w:id="1403334148">
      <w:bodyDiv w:val="1"/>
      <w:marLeft w:val="0"/>
      <w:marRight w:val="0"/>
      <w:marTop w:val="0"/>
      <w:marBottom w:val="0"/>
      <w:divBdr>
        <w:top w:val="none" w:sz="0" w:space="0" w:color="auto"/>
        <w:left w:val="none" w:sz="0" w:space="0" w:color="auto"/>
        <w:bottom w:val="none" w:sz="0" w:space="0" w:color="auto"/>
        <w:right w:val="none" w:sz="0" w:space="0" w:color="auto"/>
      </w:divBdr>
    </w:div>
    <w:div w:id="1514497227">
      <w:bodyDiv w:val="1"/>
      <w:marLeft w:val="0"/>
      <w:marRight w:val="0"/>
      <w:marTop w:val="0"/>
      <w:marBottom w:val="0"/>
      <w:divBdr>
        <w:top w:val="none" w:sz="0" w:space="0" w:color="auto"/>
        <w:left w:val="none" w:sz="0" w:space="0" w:color="auto"/>
        <w:bottom w:val="none" w:sz="0" w:space="0" w:color="auto"/>
        <w:right w:val="none" w:sz="0" w:space="0" w:color="auto"/>
      </w:divBdr>
    </w:div>
    <w:div w:id="1787430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sdd.tufts.edu/white-pap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icorbach@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pazshlomi@technion.ac.il" TargetMode="External"/><Relationship Id="rId5" Type="http://schemas.openxmlformats.org/officeDocument/2006/relationships/numbering" Target="numbering.xml"/><Relationship Id="rId15" Type="http://schemas.openxmlformats.org/officeDocument/2006/relationships/hyperlink" Target="https://www.ich.org/page/multidisciplinary-guidelin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h.org/page/safety-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50C6A67711C447999C37035F806510" ma:contentTypeVersion="14" ma:contentTypeDescription="Create a new document." ma:contentTypeScope="" ma:versionID="65aca9359cc132ac96381cf621e1d418">
  <xsd:schema xmlns:xsd="http://www.w3.org/2001/XMLSchema" xmlns:xs="http://www.w3.org/2001/XMLSchema" xmlns:p="http://schemas.microsoft.com/office/2006/metadata/properties" xmlns:ns3="cf36331d-c4d3-4ff4-9401-7575eae3786f" xmlns:ns4="30373f25-1501-4dc4-914f-7f61d779dcab" targetNamespace="http://schemas.microsoft.com/office/2006/metadata/properties" ma:root="true" ma:fieldsID="b22ee161b5c13ea477a51151104ea6b7" ns3:_="" ns4:_="">
    <xsd:import namespace="cf36331d-c4d3-4ff4-9401-7575eae3786f"/>
    <xsd:import namespace="30373f25-1501-4dc4-914f-7f61d779dc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6331d-c4d3-4ff4-9401-7575eae378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73f25-1501-4dc4-914f-7f61d779dc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B75E0915-E86D-4454-935B-CFA60C3E4732}">
  <ds:schemaRefs>
    <ds:schemaRef ds:uri="http://schemas.microsoft.com/sharepoint/v3/contenttype/forms"/>
  </ds:schemaRefs>
</ds:datastoreItem>
</file>

<file path=customXml/itemProps2.xml><?xml version="1.0" encoding="utf-8"?>
<ds:datastoreItem xmlns:ds="http://schemas.openxmlformats.org/officeDocument/2006/customXml" ds:itemID="{0842D725-112E-40D4-B4FB-E3CE84A8D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6331d-c4d3-4ff4-9401-7575eae3786f"/>
    <ds:schemaRef ds:uri="30373f25-1501-4dc4-914f-7f61d77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B4DB5-2C2A-4A73-AB61-B5A827F05D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DA89CF-E487-419A-AD01-69F938EC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2341</Words>
  <Characters>11709</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Education 548: Effective College Teaching</vt:lpstr>
    </vt:vector>
  </TitlesOfParts>
  <Company>Center for Learning and Teaching</Company>
  <LinksUpToDate>false</LinksUpToDate>
  <CharactersWithSpaces>14022</CharactersWithSpaces>
  <SharedDoc>false</SharedDoc>
  <HLinks>
    <vt:vector size="6" baseType="variant">
      <vt:variant>
        <vt:i4>6881321</vt:i4>
      </vt:variant>
      <vt:variant>
        <vt:i4>0</vt:i4>
      </vt:variant>
      <vt:variant>
        <vt:i4>0</vt:i4>
      </vt:variant>
      <vt:variant>
        <vt:i4>5</vt:i4>
      </vt:variant>
      <vt:variant>
        <vt:lpwstr>mailto:cornellcte@cornell.edu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548: Effective College Teaching</dc:title>
  <dc:creator>deborah trumbull</dc:creator>
  <cp:lastModifiedBy>MBA Programs Secretary</cp:lastModifiedBy>
  <cp:revision>2</cp:revision>
  <cp:lastPrinted>2013-10-02T09:28:00Z</cp:lastPrinted>
  <dcterms:created xsi:type="dcterms:W3CDTF">2021-11-11T14:56:00Z</dcterms:created>
  <dcterms:modified xsi:type="dcterms:W3CDTF">2021-11-11T14:56:00Z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0x010100DD50C6A67711C447999C37035F806510</vt:lpwstr>
  </property>
</Properties>
</file>