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8728A" w:rsidTr="00F82185">
        <w:tc>
          <w:tcPr>
            <w:tcW w:w="4675" w:type="dxa"/>
          </w:tcPr>
          <w:p w:rsidR="0028728A" w:rsidRPr="00F82185" w:rsidRDefault="00F82185" w:rsidP="00F82185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bookmarkStart w:id="0" w:name="_GoBack"/>
            <w:bookmarkEnd w:id="0"/>
            <w:r w:rsidRPr="00F82185">
              <w:rPr>
                <w:rFonts w:cs="David"/>
                <w:rtl/>
              </w:rPr>
              <w:t>הטכניון - מכון טכנולוגי לישראל</w:t>
            </w:r>
          </w:p>
        </w:tc>
        <w:tc>
          <w:tcPr>
            <w:tcW w:w="4675" w:type="dxa"/>
          </w:tcPr>
          <w:p w:rsidR="0028728A" w:rsidRPr="00F82185" w:rsidRDefault="00F82185" w:rsidP="00F82185">
            <w:pPr>
              <w:bidi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F82185">
              <w:rPr>
                <w:rFonts w:cs="David"/>
                <w:rtl/>
              </w:rPr>
              <w:t>הפקולטה להנדסת תעשיה וניהול</w:t>
            </w:r>
          </w:p>
        </w:tc>
      </w:tr>
    </w:tbl>
    <w:p w:rsidR="0028728A" w:rsidRDefault="0028728A" w:rsidP="00F82185">
      <w:pPr>
        <w:bidi/>
        <w:rPr>
          <w:rFonts w:asciiTheme="minorBidi" w:hAnsiTheme="minorBidi" w:cstheme="minorBidi"/>
          <w:b/>
          <w:bCs/>
          <w:szCs w:val="32"/>
          <w:rtl/>
        </w:rPr>
      </w:pPr>
    </w:p>
    <w:p w:rsidR="00F82185" w:rsidRDefault="00F82185" w:rsidP="0028728A">
      <w:pPr>
        <w:bidi/>
        <w:jc w:val="center"/>
        <w:rPr>
          <w:rFonts w:asciiTheme="minorBidi" w:hAnsiTheme="minorBidi" w:cstheme="minorBidi"/>
          <w:b/>
          <w:bCs/>
          <w:szCs w:val="32"/>
          <w:rtl/>
        </w:rPr>
      </w:pPr>
    </w:p>
    <w:p w:rsidR="006E63BA" w:rsidRPr="0028728A" w:rsidRDefault="006E63BA" w:rsidP="00F82185">
      <w:pPr>
        <w:bidi/>
        <w:jc w:val="center"/>
        <w:rPr>
          <w:rFonts w:asciiTheme="minorBidi" w:hAnsiTheme="minorBidi" w:cstheme="minorBidi"/>
          <w:b/>
          <w:bCs/>
          <w:szCs w:val="32"/>
          <w:rtl/>
        </w:rPr>
      </w:pPr>
      <w:r w:rsidRPr="0028728A">
        <w:rPr>
          <w:rFonts w:asciiTheme="minorBidi" w:hAnsiTheme="minorBidi" w:cstheme="minorBidi"/>
          <w:b/>
          <w:bCs/>
          <w:szCs w:val="32"/>
          <w:rtl/>
        </w:rPr>
        <w:t xml:space="preserve">משא ומתן </w:t>
      </w:r>
      <w:r w:rsidR="00286875" w:rsidRPr="0028728A">
        <w:rPr>
          <w:rFonts w:asciiTheme="minorBidi" w:hAnsiTheme="minorBidi" w:cstheme="minorBidi"/>
          <w:b/>
          <w:bCs/>
          <w:szCs w:val="32"/>
          <w:rtl/>
        </w:rPr>
        <w:t>–</w:t>
      </w:r>
      <w:r w:rsidRPr="0028728A">
        <w:rPr>
          <w:rFonts w:asciiTheme="minorBidi" w:hAnsiTheme="minorBidi" w:cstheme="minorBidi"/>
          <w:b/>
          <w:bCs/>
          <w:szCs w:val="32"/>
          <w:rtl/>
        </w:rPr>
        <w:t xml:space="preserve"> 099760</w:t>
      </w:r>
    </w:p>
    <w:p w:rsidR="00286875" w:rsidRPr="0028728A" w:rsidRDefault="00A27D4F" w:rsidP="00384DBA">
      <w:pPr>
        <w:bidi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22</w:t>
      </w:r>
      <w:r w:rsidR="004072D7" w:rsidRPr="0028728A">
        <w:rPr>
          <w:rFonts w:asciiTheme="minorBidi" w:hAnsiTheme="minorBidi" w:cstheme="minorBidi"/>
          <w:rtl/>
        </w:rPr>
        <w:t xml:space="preserve"> ב</w:t>
      </w:r>
      <w:r w:rsidR="00847A97">
        <w:rPr>
          <w:rFonts w:asciiTheme="minorBidi" w:hAnsiTheme="minorBidi" w:cstheme="minorBidi" w:hint="cs"/>
          <w:rtl/>
        </w:rPr>
        <w:t>נובמבר</w:t>
      </w:r>
      <w:r w:rsidR="004072D7" w:rsidRPr="0028728A">
        <w:rPr>
          <w:rFonts w:asciiTheme="minorBidi" w:hAnsiTheme="minorBidi" w:cstheme="minorBidi"/>
          <w:rtl/>
        </w:rPr>
        <w:t xml:space="preserve">, </w:t>
      </w:r>
      <w:r w:rsidR="0019749D" w:rsidRPr="0028728A">
        <w:rPr>
          <w:rFonts w:asciiTheme="minorBidi" w:hAnsiTheme="minorBidi" w:cstheme="minorBidi"/>
          <w:rtl/>
        </w:rPr>
        <w:t>202</w:t>
      </w:r>
      <w:r w:rsidR="00711B3E">
        <w:rPr>
          <w:rFonts w:asciiTheme="minorBidi" w:hAnsiTheme="minorBidi" w:cstheme="minorBidi" w:hint="cs"/>
          <w:rtl/>
        </w:rPr>
        <w:t>1</w:t>
      </w:r>
    </w:p>
    <w:p w:rsidR="006E63BA" w:rsidRPr="0028728A" w:rsidRDefault="006E63BA">
      <w:pPr>
        <w:bidi/>
        <w:jc w:val="center"/>
        <w:rPr>
          <w:rFonts w:asciiTheme="minorBidi" w:hAnsiTheme="minorBidi" w:cstheme="minorBidi"/>
          <w:b/>
          <w:bCs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  <w:gridCol w:w="2204"/>
        <w:gridCol w:w="3399"/>
      </w:tblGrid>
      <w:tr w:rsidR="00A52500" w:rsidRPr="0028728A" w:rsidTr="008776E7">
        <w:trPr>
          <w:jc w:val="center"/>
        </w:trPr>
        <w:tc>
          <w:tcPr>
            <w:tcW w:w="1574" w:type="dxa"/>
          </w:tcPr>
          <w:p w:rsidR="00A52500" w:rsidRPr="0028728A" w:rsidRDefault="00A52500">
            <w:pPr>
              <w:bidi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204" w:type="dxa"/>
          </w:tcPr>
          <w:p w:rsidR="00A52500" w:rsidRDefault="00A52500" w:rsidP="0019390A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מרצ</w:t>
            </w:r>
            <w:r w:rsidR="0019390A"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="00390A0F"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פרופ' עדו ערב</w:t>
            </w:r>
          </w:p>
          <w:p w:rsidR="00B63C50" w:rsidRPr="0028728A" w:rsidRDefault="00B63C50" w:rsidP="00B63C50">
            <w:pPr>
              <w:bidi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08" w:type="dxa"/>
          </w:tcPr>
          <w:p w:rsidR="00A52500" w:rsidRPr="0028728A" w:rsidRDefault="00A52500" w:rsidP="004072D7">
            <w:pPr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מתרגל: </w:t>
            </w:r>
            <w:r w:rsidR="00620E49">
              <w:rPr>
                <w:rFonts w:asciiTheme="minorBidi" w:hAnsiTheme="minorBidi" w:cstheme="minorBidi" w:hint="cs"/>
                <w:sz w:val="22"/>
                <w:szCs w:val="22"/>
                <w:rtl/>
              </w:rPr>
              <w:t>פיטר איוב</w:t>
            </w:r>
          </w:p>
        </w:tc>
      </w:tr>
      <w:tr w:rsidR="00A52500" w:rsidRPr="0028728A" w:rsidTr="008776E7">
        <w:trPr>
          <w:jc w:val="center"/>
        </w:trPr>
        <w:tc>
          <w:tcPr>
            <w:tcW w:w="1574" w:type="dxa"/>
          </w:tcPr>
          <w:p w:rsidR="00A52500" w:rsidRPr="0028728A" w:rsidRDefault="00A525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דואר אלקטרוני</w:t>
            </w:r>
          </w:p>
          <w:p w:rsidR="00A52500" w:rsidRPr="0028728A" w:rsidRDefault="00A52500" w:rsidP="00E07F80">
            <w:pPr>
              <w:bidi/>
              <w:rPr>
                <w:rFonts w:asciiTheme="minorBidi" w:hAnsiTheme="minorBidi" w:cstheme="minorBidi"/>
                <w:sz w:val="22"/>
                <w:szCs w:val="22"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4" w:type="dxa"/>
          </w:tcPr>
          <w:p w:rsidR="00A52500" w:rsidRPr="001F1245" w:rsidRDefault="00A52500" w:rsidP="0019390A">
            <w:pPr>
              <w:bidi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1F124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erev</w:t>
            </w:r>
            <w:r w:rsidR="00390A0F" w:rsidRPr="001F124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ido@gmail.com</w:t>
            </w:r>
            <w:r w:rsidRPr="001F1245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08" w:type="dxa"/>
          </w:tcPr>
          <w:p w:rsidR="00A52500" w:rsidRPr="001F1245" w:rsidRDefault="00E10D7E" w:rsidP="00E07F80">
            <w:pPr>
              <w:bidi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hyperlink r:id="rId6" w:tgtFrame="_blank" w:history="1">
              <w:r w:rsidR="00620E49">
                <w:rPr>
                  <w:rStyle w:val="Hyperlink"/>
                  <w:rFonts w:ascii="Helvetica" w:hAnsi="Helvetica"/>
                  <w:color w:val="1A73E8"/>
                  <w:sz w:val="20"/>
                  <w:szCs w:val="20"/>
                  <w:shd w:val="clear" w:color="auto" w:fill="FFFFFF"/>
                </w:rPr>
                <w:t>peter.ayoub@campus.technion.ac.il</w:t>
              </w:r>
            </w:hyperlink>
          </w:p>
        </w:tc>
      </w:tr>
      <w:tr w:rsidR="00A52500" w:rsidRPr="0028728A" w:rsidTr="008776E7">
        <w:trPr>
          <w:jc w:val="center"/>
        </w:trPr>
        <w:tc>
          <w:tcPr>
            <w:tcW w:w="1574" w:type="dxa"/>
          </w:tcPr>
          <w:p w:rsidR="00A52500" w:rsidRPr="0028728A" w:rsidRDefault="00A5250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שעות קבלה</w:t>
            </w:r>
          </w:p>
        </w:tc>
        <w:tc>
          <w:tcPr>
            <w:tcW w:w="2204" w:type="dxa"/>
          </w:tcPr>
          <w:p w:rsidR="00A52500" w:rsidRPr="0028728A" w:rsidRDefault="00E07F8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אחרי ההרצאות</w:t>
            </w:r>
          </w:p>
          <w:p w:rsidR="00A52500" w:rsidRPr="0028728A" w:rsidRDefault="00A52500" w:rsidP="00371668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ו</w:t>
            </w:r>
            <w:r w:rsidR="00371668"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לפי תיאום מראש</w:t>
            </w:r>
          </w:p>
        </w:tc>
        <w:tc>
          <w:tcPr>
            <w:tcW w:w="2408" w:type="dxa"/>
          </w:tcPr>
          <w:p w:rsidR="00A52500" w:rsidRPr="0028728A" w:rsidRDefault="00371668" w:rsidP="006C5AD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8728A">
              <w:rPr>
                <w:rFonts w:asciiTheme="minorBidi" w:hAnsiTheme="minorBidi" w:cstheme="minorBidi"/>
                <w:sz w:val="22"/>
                <w:szCs w:val="22"/>
                <w:rtl/>
              </w:rPr>
              <w:t>לפי תיאום מראש</w:t>
            </w:r>
          </w:p>
        </w:tc>
      </w:tr>
    </w:tbl>
    <w:p w:rsidR="006E63BA" w:rsidRPr="0028728A" w:rsidRDefault="006E63BA">
      <w:pPr>
        <w:bidi/>
        <w:rPr>
          <w:rFonts w:asciiTheme="minorBidi" w:hAnsiTheme="minorBidi" w:cstheme="minorBidi"/>
          <w:rtl/>
        </w:rPr>
      </w:pPr>
    </w:p>
    <w:p w:rsidR="00F82185" w:rsidRDefault="00F82185">
      <w:pPr>
        <w:tabs>
          <w:tab w:val="left" w:pos="-1440"/>
        </w:tabs>
        <w:bidi/>
        <w:ind w:left="6480" w:hanging="6480"/>
        <w:rPr>
          <w:rFonts w:asciiTheme="minorBidi" w:hAnsiTheme="minorBidi" w:cstheme="minorBidi"/>
          <w:b/>
          <w:bCs/>
          <w:rtl/>
        </w:rPr>
      </w:pPr>
    </w:p>
    <w:p w:rsidR="006E63BA" w:rsidRPr="0028728A" w:rsidRDefault="006E63BA" w:rsidP="00F82185">
      <w:pPr>
        <w:tabs>
          <w:tab w:val="left" w:pos="-1440"/>
        </w:tabs>
        <w:bidi/>
        <w:ind w:left="6480" w:hanging="6480"/>
        <w:rPr>
          <w:rFonts w:asciiTheme="minorBidi" w:hAnsiTheme="minorBidi" w:cstheme="minorBidi"/>
          <w:b/>
          <w:bCs/>
          <w:rtl/>
        </w:rPr>
      </w:pPr>
      <w:r w:rsidRPr="0028728A">
        <w:rPr>
          <w:rFonts w:asciiTheme="minorBidi" w:hAnsiTheme="minorBidi" w:cstheme="minorBidi"/>
          <w:b/>
          <w:bCs/>
          <w:rtl/>
        </w:rPr>
        <w:t>רקע כללי</w:t>
      </w:r>
    </w:p>
    <w:p w:rsidR="006E63BA" w:rsidRPr="0028728A" w:rsidRDefault="006E63BA">
      <w:pPr>
        <w:bidi/>
        <w:rPr>
          <w:rFonts w:ascii="Arial" w:hAnsi="Arial" w:cs="Arial"/>
          <w:b/>
          <w:bCs/>
          <w:rtl/>
        </w:rPr>
      </w:pPr>
    </w:p>
    <w:p w:rsidR="006E63BA" w:rsidRPr="0028728A" w:rsidRDefault="006E63BA">
      <w:pPr>
        <w:bidi/>
        <w:rPr>
          <w:rFonts w:ascii="Arial" w:hAnsi="Arial" w:cs="Arial"/>
        </w:rPr>
      </w:pPr>
      <w:r w:rsidRPr="0028728A">
        <w:rPr>
          <w:rFonts w:ascii="Arial" w:hAnsi="Arial" w:cs="Arial"/>
          <w:rtl/>
        </w:rPr>
        <w:t>לקורס יש שתי מטרות עיקריות: סקירה של מחקר אקדמי הבוחן בעיות ושיטות של משא ומתן, ומתן הזדמנות לתלמידים להתנסות בשימוש בשיטות השונות.  הסקירה תתמקד במודלים תורת משחקיים המניחים רציונ</w:t>
      </w:r>
      <w:r w:rsidR="00B63C50">
        <w:rPr>
          <w:rFonts w:ascii="Arial" w:hAnsi="Arial" w:cs="Arial" w:hint="cs"/>
          <w:rtl/>
        </w:rPr>
        <w:t>א</w:t>
      </w:r>
      <w:r w:rsidRPr="0028728A">
        <w:rPr>
          <w:rFonts w:ascii="Arial" w:hAnsi="Arial" w:cs="Arial"/>
          <w:rtl/>
        </w:rPr>
        <w:t>ליות, ובמחקרים התנהגותיים המעידים על החסרונות של הנחת הרציונ</w:t>
      </w:r>
      <w:r w:rsidR="00B63C50">
        <w:rPr>
          <w:rFonts w:ascii="Arial" w:hAnsi="Arial" w:cs="Arial" w:hint="cs"/>
          <w:rtl/>
        </w:rPr>
        <w:t>א</w:t>
      </w:r>
      <w:r w:rsidRPr="0028728A">
        <w:rPr>
          <w:rFonts w:ascii="Arial" w:hAnsi="Arial" w:cs="Arial"/>
          <w:rtl/>
        </w:rPr>
        <w:t>ליות ומציעים מודלים חלופיים.  במהלך ההתנסות התלמידים ישתתפו בסימולציות של משא ומתן בכתה</w:t>
      </w:r>
      <w:r w:rsidR="004072D7" w:rsidRPr="0028728A">
        <w:rPr>
          <w:rFonts w:ascii="Arial" w:hAnsi="Arial" w:cs="Arial"/>
          <w:rtl/>
        </w:rPr>
        <w:t xml:space="preserve"> (או בזום)</w:t>
      </w:r>
      <w:r w:rsidRPr="0028728A">
        <w:rPr>
          <w:rFonts w:ascii="Arial" w:hAnsi="Arial" w:cs="Arial"/>
          <w:rtl/>
        </w:rPr>
        <w:t xml:space="preserve"> ויוכלו לבחון את הערך של השיטות השונות עבורם.  </w:t>
      </w:r>
    </w:p>
    <w:p w:rsidR="006E63BA" w:rsidRPr="0028728A" w:rsidRDefault="006E63BA">
      <w:pPr>
        <w:bidi/>
        <w:rPr>
          <w:rFonts w:ascii="Arial" w:hAnsi="Arial" w:cs="Arial"/>
          <w:b/>
          <w:bCs/>
        </w:rPr>
      </w:pPr>
    </w:p>
    <w:p w:rsidR="006E63BA" w:rsidRPr="0028728A" w:rsidRDefault="006E63BA">
      <w:pPr>
        <w:jc w:val="center"/>
        <w:rPr>
          <w:rFonts w:ascii="Arial" w:hAnsi="Arial" w:cs="Arial"/>
        </w:rPr>
      </w:pPr>
      <w:r w:rsidRPr="0028728A">
        <w:rPr>
          <w:rFonts w:ascii="Arial" w:hAnsi="Arial" w:cs="Arial"/>
          <w:u w:val="single"/>
        </w:rPr>
        <w:t>Mandatory Reading</w:t>
      </w:r>
    </w:p>
    <w:p w:rsidR="006E63BA" w:rsidRPr="0028728A" w:rsidRDefault="006E63BA">
      <w:pPr>
        <w:rPr>
          <w:rFonts w:ascii="Arial" w:hAnsi="Arial" w:cs="Arial"/>
          <w:rtl/>
        </w:rPr>
      </w:pPr>
    </w:p>
    <w:p w:rsidR="006E63BA" w:rsidRPr="0028728A" w:rsidRDefault="006E63BA">
      <w:pPr>
        <w:rPr>
          <w:rFonts w:ascii="Arial" w:hAnsi="Arial" w:cs="Arial"/>
        </w:rPr>
      </w:pPr>
    </w:p>
    <w:p w:rsidR="006E63BA" w:rsidRPr="0028728A" w:rsidRDefault="006E63BA" w:rsidP="00811FDB">
      <w:pPr>
        <w:rPr>
          <w:rFonts w:ascii="Arial" w:hAnsi="Arial" w:cs="Arial"/>
        </w:rPr>
      </w:pPr>
      <w:r w:rsidRPr="0028728A">
        <w:rPr>
          <w:rFonts w:ascii="Arial" w:hAnsi="Arial" w:cs="Arial"/>
        </w:rPr>
        <w:t xml:space="preserve">Fisher, R., and </w:t>
      </w:r>
      <w:proofErr w:type="spellStart"/>
      <w:r w:rsidRPr="0028728A">
        <w:rPr>
          <w:rFonts w:ascii="Arial" w:hAnsi="Arial" w:cs="Arial"/>
        </w:rPr>
        <w:t>Ury</w:t>
      </w:r>
      <w:proofErr w:type="spellEnd"/>
      <w:r w:rsidRPr="0028728A">
        <w:rPr>
          <w:rFonts w:ascii="Arial" w:hAnsi="Arial" w:cs="Arial"/>
        </w:rPr>
        <w:t>, W. (1991</w:t>
      </w:r>
      <w:r w:rsidR="00811FDB" w:rsidRPr="0028728A">
        <w:rPr>
          <w:rFonts w:ascii="Arial" w:hAnsi="Arial" w:cs="Arial"/>
        </w:rPr>
        <w:t>, or updated version 2011</w:t>
      </w:r>
      <w:r w:rsidRPr="0028728A">
        <w:rPr>
          <w:rFonts w:ascii="Arial" w:hAnsi="Arial" w:cs="Arial"/>
        </w:rPr>
        <w:t xml:space="preserve">). </w:t>
      </w:r>
      <w:r w:rsidRPr="0028728A">
        <w:rPr>
          <w:rFonts w:ascii="Arial" w:hAnsi="Arial" w:cs="Arial"/>
          <w:i/>
        </w:rPr>
        <w:t>Getting to Yes: Negotiating Agreement Without Giving In</w:t>
      </w:r>
      <w:r w:rsidR="00811FDB" w:rsidRPr="0028728A">
        <w:rPr>
          <w:rFonts w:ascii="Arial" w:hAnsi="Arial" w:cs="Arial"/>
        </w:rPr>
        <w:t xml:space="preserve"> </w:t>
      </w:r>
      <w:r w:rsidRPr="0028728A">
        <w:rPr>
          <w:rFonts w:ascii="Arial" w:hAnsi="Arial" w:cs="Arial"/>
        </w:rPr>
        <w:t xml:space="preserve">(Penguin Books). </w:t>
      </w:r>
    </w:p>
    <w:p w:rsidR="006E63BA" w:rsidRPr="0028728A" w:rsidRDefault="006E63BA">
      <w:pPr>
        <w:rPr>
          <w:rFonts w:ascii="Arial" w:hAnsi="Arial" w:cs="Arial"/>
        </w:rPr>
      </w:pPr>
    </w:p>
    <w:p w:rsidR="006E63BA" w:rsidRPr="0028728A" w:rsidRDefault="006E63BA">
      <w:pPr>
        <w:jc w:val="center"/>
        <w:rPr>
          <w:rFonts w:ascii="Arial" w:hAnsi="Arial" w:cs="Arial"/>
          <w:u w:val="single"/>
        </w:rPr>
      </w:pPr>
    </w:p>
    <w:p w:rsidR="006E63BA" w:rsidRPr="0028728A" w:rsidRDefault="006E63BA">
      <w:pPr>
        <w:jc w:val="center"/>
        <w:rPr>
          <w:rFonts w:ascii="Arial" w:hAnsi="Arial" w:cs="Arial"/>
          <w:u w:val="single"/>
        </w:rPr>
      </w:pPr>
      <w:r w:rsidRPr="0028728A">
        <w:rPr>
          <w:rFonts w:ascii="Arial" w:hAnsi="Arial" w:cs="Arial"/>
          <w:u w:val="single"/>
        </w:rPr>
        <w:t>Suggested Reading</w:t>
      </w:r>
    </w:p>
    <w:p w:rsidR="006E63BA" w:rsidRPr="0028728A" w:rsidRDefault="006E63BA">
      <w:pPr>
        <w:rPr>
          <w:rFonts w:ascii="Arial" w:hAnsi="Arial" w:cs="Arial"/>
        </w:rPr>
      </w:pPr>
      <w:proofErr w:type="spellStart"/>
      <w:r w:rsidRPr="0028728A">
        <w:rPr>
          <w:rFonts w:ascii="Arial" w:hAnsi="Arial" w:cs="Arial"/>
        </w:rPr>
        <w:t>Muthoo</w:t>
      </w:r>
      <w:proofErr w:type="spellEnd"/>
      <w:r w:rsidRPr="0028728A">
        <w:rPr>
          <w:rFonts w:ascii="Arial" w:hAnsi="Arial" w:cs="Arial"/>
        </w:rPr>
        <w:t xml:space="preserve">, A.  (2000). A </w:t>
      </w:r>
      <w:proofErr w:type="spellStart"/>
      <w:r w:rsidRPr="0028728A">
        <w:rPr>
          <w:rFonts w:ascii="Arial" w:hAnsi="Arial" w:cs="Arial"/>
        </w:rPr>
        <w:t>non technical</w:t>
      </w:r>
      <w:proofErr w:type="spellEnd"/>
      <w:r w:rsidRPr="0028728A">
        <w:rPr>
          <w:rFonts w:ascii="Arial" w:hAnsi="Arial" w:cs="Arial"/>
        </w:rPr>
        <w:t xml:space="preserve"> introduction to bargaining theory, </w:t>
      </w:r>
      <w:r w:rsidRPr="0028728A">
        <w:rPr>
          <w:rFonts w:ascii="Arial" w:hAnsi="Arial" w:cs="Arial"/>
          <w:i/>
        </w:rPr>
        <w:t>World Economics</w:t>
      </w:r>
      <w:r w:rsidRPr="0028728A">
        <w:rPr>
          <w:rFonts w:ascii="Arial" w:hAnsi="Arial" w:cs="Arial"/>
        </w:rPr>
        <w:t>.</w:t>
      </w:r>
    </w:p>
    <w:p w:rsidR="00811FDB" w:rsidRPr="0028728A" w:rsidRDefault="00811FDB" w:rsidP="00811FDB">
      <w:pPr>
        <w:rPr>
          <w:rFonts w:ascii="Arial" w:hAnsi="Arial" w:cs="Arial"/>
          <w:color w:val="222222"/>
          <w:shd w:val="clear" w:color="auto" w:fill="FFFFFF"/>
        </w:rPr>
      </w:pPr>
    </w:p>
    <w:p w:rsidR="006E63BA" w:rsidRPr="0028728A" w:rsidRDefault="00811FDB" w:rsidP="00811FDB">
      <w:pPr>
        <w:rPr>
          <w:rFonts w:ascii="Arial" w:hAnsi="Arial" w:cs="Arial"/>
          <w:u w:val="single"/>
        </w:rPr>
      </w:pPr>
      <w:r w:rsidRPr="0028728A">
        <w:rPr>
          <w:rFonts w:ascii="Arial" w:hAnsi="Arial" w:cs="Arial"/>
          <w:color w:val="222222"/>
          <w:shd w:val="clear" w:color="auto" w:fill="FFFFFF"/>
        </w:rPr>
        <w:t>Roth, A. E. (2002). The economist as engineer: Game theory, experimentation, and computation as tools</w:t>
      </w:r>
      <w:r w:rsidR="00F82185">
        <w:rPr>
          <w:rFonts w:ascii="Arial" w:hAnsi="Arial" w:cs="Arial" w:hint="cs"/>
          <w:color w:val="222222"/>
          <w:shd w:val="clear" w:color="auto" w:fill="FFFFFF"/>
          <w:rtl/>
        </w:rPr>
        <w:t xml:space="preserve"> </w:t>
      </w:r>
      <w:r w:rsidRPr="0028728A">
        <w:rPr>
          <w:rFonts w:ascii="Arial" w:hAnsi="Arial" w:cs="Arial"/>
          <w:color w:val="222222"/>
          <w:shd w:val="clear" w:color="auto" w:fill="FFFFFF"/>
        </w:rPr>
        <w:t>for design economics.</w:t>
      </w:r>
      <w:r w:rsidRPr="0028728A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28728A">
        <w:rPr>
          <w:rFonts w:ascii="Arial" w:hAnsi="Arial" w:cs="Arial"/>
          <w:i/>
          <w:iCs/>
          <w:color w:val="222222"/>
          <w:shd w:val="clear" w:color="auto" w:fill="FFFFFF"/>
        </w:rPr>
        <w:t>Econometrica</w:t>
      </w:r>
      <w:proofErr w:type="spellEnd"/>
      <w:r w:rsidRPr="0028728A">
        <w:rPr>
          <w:rFonts w:ascii="Arial" w:hAnsi="Arial" w:cs="Arial"/>
          <w:color w:val="222222"/>
          <w:shd w:val="clear" w:color="auto" w:fill="FFFFFF"/>
        </w:rPr>
        <w:t>,</w:t>
      </w:r>
      <w:r w:rsidRPr="0028728A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28728A">
        <w:rPr>
          <w:rFonts w:ascii="Arial" w:hAnsi="Arial" w:cs="Arial"/>
          <w:i/>
          <w:iCs/>
          <w:color w:val="222222"/>
          <w:shd w:val="clear" w:color="auto" w:fill="FFFFFF"/>
        </w:rPr>
        <w:t>70</w:t>
      </w:r>
      <w:r w:rsidRPr="0028728A">
        <w:rPr>
          <w:rFonts w:ascii="Arial" w:hAnsi="Arial" w:cs="Arial"/>
          <w:color w:val="222222"/>
          <w:shd w:val="clear" w:color="auto" w:fill="FFFFFF"/>
        </w:rPr>
        <w:t>(4), 1341-1378.</w:t>
      </w:r>
    </w:p>
    <w:p w:rsidR="00F82185" w:rsidRDefault="00F8218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E63BA" w:rsidRDefault="006E63BA">
      <w:pPr>
        <w:jc w:val="center"/>
        <w:rPr>
          <w:rFonts w:ascii="Arial" w:hAnsi="Arial" w:cs="Arial"/>
          <w:u w:val="single"/>
          <w:rtl/>
        </w:rPr>
      </w:pPr>
    </w:p>
    <w:p w:rsidR="006E63BA" w:rsidRPr="0028728A" w:rsidRDefault="006E63BA" w:rsidP="0028728A">
      <w:pPr>
        <w:jc w:val="center"/>
        <w:rPr>
          <w:rFonts w:ascii="Arial" w:hAnsi="Arial" w:cs="Arial"/>
        </w:rPr>
      </w:pPr>
      <w:r w:rsidRPr="0028728A">
        <w:rPr>
          <w:rFonts w:ascii="Arial" w:hAnsi="Arial" w:cs="Arial"/>
        </w:rPr>
        <w:t xml:space="preserve"> </w:t>
      </w:r>
      <w:r w:rsidR="0028728A" w:rsidRPr="0028728A">
        <w:rPr>
          <w:rFonts w:ascii="Arial" w:hAnsi="Arial" w:cs="Arial"/>
          <w:rtl/>
        </w:rPr>
        <w:t>חלוקה לשיעורים</w:t>
      </w:r>
    </w:p>
    <w:p w:rsidR="006E63BA" w:rsidRPr="0028728A" w:rsidRDefault="006E63BA">
      <w:pPr>
        <w:rPr>
          <w:rFonts w:ascii="Arial" w:hAnsi="Arial" w:cs="Arial"/>
        </w:rPr>
      </w:pPr>
    </w:p>
    <w:tbl>
      <w:tblPr>
        <w:tblStyle w:val="a3"/>
        <w:tblW w:w="0" w:type="auto"/>
        <w:tblInd w:w="1075" w:type="dxa"/>
        <w:tblLook w:val="04A0" w:firstRow="1" w:lastRow="0" w:firstColumn="1" w:lastColumn="0" w:noHBand="0" w:noVBand="1"/>
      </w:tblPr>
      <w:tblGrid>
        <w:gridCol w:w="7290"/>
        <w:gridCol w:w="985"/>
      </w:tblGrid>
      <w:tr w:rsidR="004666BD" w:rsidRPr="0028728A" w:rsidTr="00B63C50">
        <w:tc>
          <w:tcPr>
            <w:tcW w:w="7290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  <w:rtl/>
              </w:rPr>
            </w:pPr>
            <w:r w:rsidRPr="0028728A">
              <w:rPr>
                <w:rFonts w:ascii="Arial" w:hAnsi="Arial" w:cs="Arial"/>
                <w:rtl/>
              </w:rPr>
              <w:t xml:space="preserve">הקדמה, </w:t>
            </w:r>
            <w:r w:rsidRPr="0028728A">
              <w:rPr>
                <w:rFonts w:ascii="Arial" w:hAnsi="Arial" w:cs="Arial"/>
              </w:rPr>
              <w:t>BATNA</w:t>
            </w:r>
            <w:r w:rsidRPr="0028728A">
              <w:rPr>
                <w:rFonts w:ascii="Arial" w:hAnsi="Arial" w:cs="Arial"/>
                <w:rtl/>
              </w:rPr>
              <w:t xml:space="preserve">, והערך של </w:t>
            </w:r>
            <w:r w:rsidR="00B63C50">
              <w:rPr>
                <w:rFonts w:ascii="Arial" w:hAnsi="Arial" w:cs="Arial" w:hint="cs"/>
                <w:rtl/>
              </w:rPr>
              <w:t>הנחת הרציונאליות</w:t>
            </w:r>
          </w:p>
        </w:tc>
        <w:tc>
          <w:tcPr>
            <w:tcW w:w="985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1</w:t>
            </w:r>
          </w:p>
        </w:tc>
      </w:tr>
      <w:tr w:rsidR="004666BD" w:rsidRPr="0028728A" w:rsidTr="00B63C50">
        <w:tc>
          <w:tcPr>
            <w:tcW w:w="7290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ההשפעה של מידע, והבדלים בין אישיים</w:t>
            </w:r>
          </w:p>
        </w:tc>
        <w:tc>
          <w:tcPr>
            <w:tcW w:w="985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2</w:t>
            </w:r>
          </w:p>
        </w:tc>
      </w:tr>
      <w:tr w:rsidR="004666BD" w:rsidRPr="0028728A" w:rsidTr="00B63C50">
        <w:tc>
          <w:tcPr>
            <w:tcW w:w="7290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אינדוקציה לאחור ומגבלות קוגניטיביות</w:t>
            </w:r>
          </w:p>
        </w:tc>
        <w:tc>
          <w:tcPr>
            <w:tcW w:w="985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3</w:t>
            </w:r>
          </w:p>
        </w:tc>
      </w:tr>
      <w:tr w:rsidR="004666BD" w:rsidRPr="0028728A" w:rsidTr="00B63C50">
        <w:tc>
          <w:tcPr>
            <w:tcW w:w="7290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הוגנות, רגשות, ונורמות חברתיות</w:t>
            </w:r>
          </w:p>
        </w:tc>
        <w:tc>
          <w:tcPr>
            <w:tcW w:w="985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4</w:t>
            </w:r>
          </w:p>
        </w:tc>
      </w:tr>
      <w:tr w:rsidR="004666BD" w:rsidRPr="0028728A" w:rsidTr="00B63C50">
        <w:tc>
          <w:tcPr>
            <w:tcW w:w="7290" w:type="dxa"/>
          </w:tcPr>
          <w:p w:rsidR="004666BD" w:rsidRPr="0028728A" w:rsidRDefault="004666BD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 xml:space="preserve">פתרונות </w:t>
            </w:r>
            <w:r w:rsidR="0028728A" w:rsidRPr="0028728A">
              <w:rPr>
                <w:rFonts w:ascii="Arial" w:hAnsi="Arial" w:cs="Arial"/>
                <w:rtl/>
              </w:rPr>
              <w:t>אינטגרטיביים, יצירתיות, והסכמים יציבים</w:t>
            </w:r>
          </w:p>
        </w:tc>
        <w:tc>
          <w:tcPr>
            <w:tcW w:w="985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5</w:t>
            </w:r>
          </w:p>
        </w:tc>
      </w:tr>
      <w:tr w:rsidR="004666BD" w:rsidRPr="0028728A" w:rsidTr="00B63C50">
        <w:tc>
          <w:tcPr>
            <w:tcW w:w="7290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שיתוף פעולה, אמון, ו</w:t>
            </w:r>
            <w:r w:rsidR="00B63C50">
              <w:rPr>
                <w:rFonts w:ascii="Arial" w:hAnsi="Arial" w:cs="Arial" w:hint="cs"/>
                <w:rtl/>
              </w:rPr>
              <w:t xml:space="preserve">בניית </w:t>
            </w:r>
            <w:r w:rsidRPr="0028728A">
              <w:rPr>
                <w:rFonts w:ascii="Arial" w:hAnsi="Arial" w:cs="Arial"/>
                <w:rtl/>
              </w:rPr>
              <w:t>קואליציות</w:t>
            </w:r>
          </w:p>
        </w:tc>
        <w:tc>
          <w:tcPr>
            <w:tcW w:w="985" w:type="dxa"/>
          </w:tcPr>
          <w:p w:rsidR="004666BD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6</w:t>
            </w:r>
          </w:p>
        </w:tc>
      </w:tr>
      <w:tr w:rsidR="0028728A" w:rsidRPr="0028728A" w:rsidTr="00B63C50">
        <w:tc>
          <w:tcPr>
            <w:tcW w:w="7290" w:type="dxa"/>
          </w:tcPr>
          <w:p w:rsidR="0028728A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  <w:rtl/>
              </w:rPr>
            </w:pPr>
            <w:r w:rsidRPr="0028728A">
              <w:rPr>
                <w:rFonts w:ascii="Arial" w:hAnsi="Arial" w:cs="Arial"/>
                <w:rtl/>
              </w:rPr>
              <w:t>סיכום</w:t>
            </w:r>
          </w:p>
        </w:tc>
        <w:tc>
          <w:tcPr>
            <w:tcW w:w="985" w:type="dxa"/>
          </w:tcPr>
          <w:p w:rsidR="0028728A" w:rsidRPr="0028728A" w:rsidRDefault="0028728A" w:rsidP="00B63C50">
            <w:pPr>
              <w:bidi/>
              <w:spacing w:line="360" w:lineRule="auto"/>
              <w:rPr>
                <w:rFonts w:ascii="Arial" w:hAnsi="Arial" w:cs="Arial"/>
              </w:rPr>
            </w:pPr>
            <w:r w:rsidRPr="0028728A">
              <w:rPr>
                <w:rFonts w:ascii="Arial" w:hAnsi="Arial" w:cs="Arial"/>
                <w:rtl/>
              </w:rPr>
              <w:t>7</w:t>
            </w:r>
          </w:p>
        </w:tc>
      </w:tr>
    </w:tbl>
    <w:p w:rsidR="004666BD" w:rsidRPr="0028728A" w:rsidRDefault="004666BD" w:rsidP="00B63C50">
      <w:pPr>
        <w:spacing w:line="360" w:lineRule="auto"/>
        <w:rPr>
          <w:rFonts w:ascii="Arial" w:hAnsi="Arial" w:cs="Arial"/>
          <w:rtl/>
        </w:rPr>
      </w:pPr>
    </w:p>
    <w:p w:rsidR="006E63BA" w:rsidRPr="0028728A" w:rsidRDefault="006E63BA">
      <w:pPr>
        <w:bidi/>
        <w:rPr>
          <w:rFonts w:ascii="Arial" w:hAnsi="Arial" w:cs="Arial"/>
          <w:rtl/>
        </w:rPr>
      </w:pPr>
      <w:r w:rsidRPr="0028728A">
        <w:rPr>
          <w:rFonts w:ascii="Arial" w:hAnsi="Arial" w:cs="Arial"/>
          <w:rtl/>
        </w:rPr>
        <w:t>שיטת הערכה:</w:t>
      </w:r>
    </w:p>
    <w:p w:rsidR="006E63BA" w:rsidRPr="0028728A" w:rsidRDefault="006E63BA">
      <w:pPr>
        <w:bidi/>
        <w:rPr>
          <w:rFonts w:ascii="Arial" w:hAnsi="Arial" w:cs="Arial"/>
          <w:rtl/>
        </w:rPr>
      </w:pPr>
    </w:p>
    <w:p w:rsidR="006E63BA" w:rsidRPr="0028728A" w:rsidRDefault="006E63BA" w:rsidP="00711B3E">
      <w:pPr>
        <w:bidi/>
        <w:rPr>
          <w:rFonts w:ascii="Arial" w:hAnsi="Arial" w:cs="Arial"/>
          <w:rtl/>
        </w:rPr>
      </w:pPr>
      <w:r w:rsidRPr="0028728A">
        <w:rPr>
          <w:rFonts w:ascii="Arial" w:hAnsi="Arial" w:cs="Arial"/>
          <w:rtl/>
        </w:rPr>
        <w:t xml:space="preserve">השתתפות ויומן </w:t>
      </w:r>
      <w:r w:rsidR="00711B3E">
        <w:rPr>
          <w:rFonts w:ascii="Arial" w:hAnsi="Arial" w:cs="Arial" w:hint="cs"/>
          <w:rtl/>
        </w:rPr>
        <w:t>20</w:t>
      </w:r>
      <w:r w:rsidRPr="0028728A">
        <w:rPr>
          <w:rFonts w:ascii="Arial" w:hAnsi="Arial" w:cs="Arial"/>
          <w:rtl/>
        </w:rPr>
        <w:t xml:space="preserve">%:  </w:t>
      </w:r>
      <w:r w:rsidR="00D6171B" w:rsidRPr="0028728A">
        <w:rPr>
          <w:rFonts w:ascii="Arial" w:hAnsi="Arial" w:cs="Arial"/>
          <w:rtl/>
        </w:rPr>
        <w:t>10 נקודות עבור הגשת היומן, ו</w:t>
      </w:r>
      <w:r w:rsidR="00711B3E">
        <w:rPr>
          <w:rFonts w:ascii="Arial" w:hAnsi="Arial" w:cs="Arial" w:hint="cs"/>
          <w:rtl/>
        </w:rPr>
        <w:t xml:space="preserve"> 10 </w:t>
      </w:r>
      <w:r w:rsidR="00D6171B" w:rsidRPr="0028728A">
        <w:rPr>
          <w:rFonts w:ascii="Arial" w:hAnsi="Arial" w:cs="Arial"/>
          <w:rtl/>
        </w:rPr>
        <w:t>נקוד</w:t>
      </w:r>
      <w:r w:rsidR="00847A97">
        <w:rPr>
          <w:rFonts w:ascii="Arial" w:hAnsi="Arial" w:cs="Arial" w:hint="cs"/>
          <w:rtl/>
        </w:rPr>
        <w:t>ות</w:t>
      </w:r>
      <w:r w:rsidR="00D6171B" w:rsidRPr="0028728A">
        <w:rPr>
          <w:rFonts w:ascii="Arial" w:hAnsi="Arial" w:cs="Arial"/>
          <w:rtl/>
        </w:rPr>
        <w:t xml:space="preserve"> על נוכחות בכל </w:t>
      </w:r>
      <w:r w:rsidR="00711B3E">
        <w:rPr>
          <w:rFonts w:ascii="Arial" w:hAnsi="Arial" w:cs="Arial" w:hint="cs"/>
          <w:rtl/>
        </w:rPr>
        <w:t>השיעורים</w:t>
      </w:r>
      <w:r w:rsidR="00D6171B" w:rsidRPr="0028728A">
        <w:rPr>
          <w:rFonts w:ascii="Arial" w:hAnsi="Arial" w:cs="Arial"/>
          <w:rtl/>
        </w:rPr>
        <w:t>.</w:t>
      </w:r>
      <w:r w:rsidRPr="0028728A">
        <w:rPr>
          <w:rFonts w:ascii="Arial" w:hAnsi="Arial" w:cs="Arial"/>
          <w:rtl/>
        </w:rPr>
        <w:t xml:space="preserve">  </w:t>
      </w:r>
    </w:p>
    <w:p w:rsidR="006E63BA" w:rsidRPr="0028728A" w:rsidRDefault="006E63BA">
      <w:pPr>
        <w:bidi/>
        <w:rPr>
          <w:rFonts w:ascii="Arial" w:hAnsi="Arial" w:cs="Arial"/>
          <w:rtl/>
        </w:rPr>
      </w:pPr>
    </w:p>
    <w:p w:rsidR="006E63BA" w:rsidRPr="0028728A" w:rsidRDefault="006E63BA" w:rsidP="00711B3E">
      <w:pPr>
        <w:bidi/>
        <w:rPr>
          <w:rFonts w:ascii="Arial" w:hAnsi="Arial" w:cs="Arial"/>
          <w:rtl/>
        </w:rPr>
      </w:pPr>
      <w:r w:rsidRPr="0028728A">
        <w:rPr>
          <w:rFonts w:ascii="Arial" w:hAnsi="Arial" w:cs="Arial"/>
          <w:rtl/>
        </w:rPr>
        <w:t xml:space="preserve">עבודה אישית </w:t>
      </w:r>
      <w:r w:rsidR="00B43BAF">
        <w:rPr>
          <w:rFonts w:ascii="Arial" w:hAnsi="Arial" w:cs="Arial" w:hint="cs"/>
          <w:rtl/>
        </w:rPr>
        <w:t>68</w:t>
      </w:r>
      <w:r w:rsidRPr="0028728A">
        <w:rPr>
          <w:rFonts w:ascii="Arial" w:hAnsi="Arial" w:cs="Arial"/>
          <w:rtl/>
        </w:rPr>
        <w:t>%:  כתיבת אירוע הממחיש עקרונות מהש</w:t>
      </w:r>
      <w:r w:rsidR="004072D7" w:rsidRPr="0028728A">
        <w:rPr>
          <w:rFonts w:ascii="Arial" w:hAnsi="Arial" w:cs="Arial"/>
          <w:rtl/>
        </w:rPr>
        <w:t>י</w:t>
      </w:r>
      <w:r w:rsidRPr="0028728A">
        <w:rPr>
          <w:rFonts w:ascii="Arial" w:hAnsi="Arial" w:cs="Arial"/>
          <w:rtl/>
        </w:rPr>
        <w:t>עורים וחומר הקריאה</w:t>
      </w:r>
      <w:r w:rsidR="00D76EF4">
        <w:rPr>
          <w:rFonts w:ascii="Arial" w:hAnsi="Arial" w:cs="Arial" w:hint="cs"/>
          <w:rtl/>
        </w:rPr>
        <w:t>.</w:t>
      </w:r>
    </w:p>
    <w:p w:rsidR="006E63BA" w:rsidRPr="0028728A" w:rsidRDefault="006E63BA">
      <w:pPr>
        <w:bidi/>
        <w:rPr>
          <w:rFonts w:ascii="Arial" w:hAnsi="Arial" w:cs="Arial"/>
          <w:rtl/>
        </w:rPr>
      </w:pPr>
    </w:p>
    <w:p w:rsidR="006E63BA" w:rsidRPr="0028728A" w:rsidRDefault="00E7213A" w:rsidP="00711B3E">
      <w:pPr>
        <w:bidi/>
        <w:rPr>
          <w:rFonts w:ascii="Arial" w:hAnsi="Arial" w:cs="Arial"/>
          <w:rtl/>
        </w:rPr>
      </w:pPr>
      <w:r w:rsidRPr="0028728A">
        <w:rPr>
          <w:rFonts w:ascii="Arial" w:hAnsi="Arial" w:cs="Arial"/>
          <w:rtl/>
        </w:rPr>
        <w:t>בוחן</w:t>
      </w:r>
      <w:r w:rsidR="006E63BA" w:rsidRPr="0028728A">
        <w:rPr>
          <w:rFonts w:ascii="Arial" w:hAnsi="Arial" w:cs="Arial"/>
          <w:rtl/>
        </w:rPr>
        <w:t xml:space="preserve"> 1</w:t>
      </w:r>
      <w:r w:rsidR="00CD638F">
        <w:rPr>
          <w:rFonts w:ascii="Arial" w:hAnsi="Arial" w:cs="Arial" w:hint="cs"/>
          <w:rtl/>
        </w:rPr>
        <w:t>2</w:t>
      </w:r>
      <w:r w:rsidR="006E63BA" w:rsidRPr="0028728A">
        <w:rPr>
          <w:rFonts w:ascii="Arial" w:hAnsi="Arial" w:cs="Arial"/>
          <w:rtl/>
        </w:rPr>
        <w:t xml:space="preserve">% (על </w:t>
      </w:r>
      <w:r w:rsidR="00286875" w:rsidRPr="0028728A">
        <w:rPr>
          <w:rFonts w:ascii="Arial" w:hAnsi="Arial" w:cs="Arial"/>
          <w:rtl/>
        </w:rPr>
        <w:t>בסיס</w:t>
      </w:r>
      <w:r w:rsidR="00FB75F7" w:rsidRPr="0028728A">
        <w:rPr>
          <w:rFonts w:ascii="Arial" w:hAnsi="Arial" w:cs="Arial"/>
          <w:rtl/>
        </w:rPr>
        <w:t xml:space="preserve"> הש</w:t>
      </w:r>
      <w:r w:rsidR="004072D7" w:rsidRPr="0028728A">
        <w:rPr>
          <w:rFonts w:ascii="Arial" w:hAnsi="Arial" w:cs="Arial"/>
          <w:rtl/>
        </w:rPr>
        <w:t>י</w:t>
      </w:r>
      <w:r w:rsidR="00FB75F7" w:rsidRPr="0028728A">
        <w:rPr>
          <w:rFonts w:ascii="Arial" w:hAnsi="Arial" w:cs="Arial"/>
          <w:rtl/>
        </w:rPr>
        <w:t>עור,</w:t>
      </w:r>
      <w:r w:rsidR="00286875" w:rsidRPr="0028728A">
        <w:rPr>
          <w:rFonts w:ascii="Arial" w:hAnsi="Arial" w:cs="Arial"/>
          <w:rtl/>
        </w:rPr>
        <w:t xml:space="preserve"> </w:t>
      </w:r>
      <w:r w:rsidR="00FB75F7" w:rsidRPr="0028728A">
        <w:rPr>
          <w:rFonts w:ascii="Arial" w:hAnsi="Arial" w:cs="Arial"/>
          <w:rtl/>
        </w:rPr>
        <w:t>ו</w:t>
      </w:r>
      <w:r w:rsidR="006E63BA" w:rsidRPr="0028728A">
        <w:rPr>
          <w:rFonts w:ascii="Arial" w:hAnsi="Arial" w:cs="Arial"/>
          <w:rtl/>
        </w:rPr>
        <w:t>חומר הקריאה).</w:t>
      </w:r>
    </w:p>
    <w:p w:rsidR="0028728A" w:rsidRPr="0028728A" w:rsidRDefault="0028728A">
      <w:pPr>
        <w:bidi/>
        <w:rPr>
          <w:rFonts w:ascii="Arial" w:hAnsi="Arial" w:cs="Arial"/>
        </w:rPr>
      </w:pPr>
    </w:p>
    <w:sectPr w:rsidR="0028728A" w:rsidRPr="0028728A">
      <w:headerReference w:type="default" r:id="rId7"/>
      <w:type w:val="continuous"/>
      <w:pgSz w:w="12240" w:h="15840"/>
      <w:pgMar w:top="1304" w:right="1440" w:bottom="1361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7E" w:rsidRDefault="00E10D7E">
      <w:r>
        <w:separator/>
      </w:r>
    </w:p>
  </w:endnote>
  <w:endnote w:type="continuationSeparator" w:id="0">
    <w:p w:rsidR="00E10D7E" w:rsidRDefault="00E1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7E" w:rsidRDefault="00E10D7E">
      <w:r>
        <w:separator/>
      </w:r>
    </w:p>
  </w:footnote>
  <w:footnote w:type="continuationSeparator" w:id="0">
    <w:p w:rsidR="00E10D7E" w:rsidRDefault="00E1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BA" w:rsidRDefault="00775C84">
    <w:pPr>
      <w:framePr w:w="936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384DBA">
      <w:rPr>
        <w:noProof/>
      </w:rPr>
      <w:t>2</w:t>
    </w:r>
    <w:r>
      <w:rPr>
        <w:noProof/>
      </w:rPr>
      <w:fldChar w:fldCharType="end"/>
    </w:r>
  </w:p>
  <w:p w:rsidR="006E63BA" w:rsidRDefault="006E63BA"/>
  <w:p w:rsidR="006E63BA" w:rsidRDefault="006E63BA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00"/>
    <w:rsid w:val="00014AA5"/>
    <w:rsid w:val="00046DBA"/>
    <w:rsid w:val="0008467B"/>
    <w:rsid w:val="00177DE7"/>
    <w:rsid w:val="0019390A"/>
    <w:rsid w:val="0019749D"/>
    <w:rsid w:val="001E6D18"/>
    <w:rsid w:val="001F1245"/>
    <w:rsid w:val="002467A5"/>
    <w:rsid w:val="00286875"/>
    <w:rsid w:val="0028728A"/>
    <w:rsid w:val="002B54C3"/>
    <w:rsid w:val="002D428A"/>
    <w:rsid w:val="00353DCA"/>
    <w:rsid w:val="00371668"/>
    <w:rsid w:val="00384DBA"/>
    <w:rsid w:val="00390A0F"/>
    <w:rsid w:val="00396257"/>
    <w:rsid w:val="00404566"/>
    <w:rsid w:val="004072D7"/>
    <w:rsid w:val="00414FFA"/>
    <w:rsid w:val="004325B5"/>
    <w:rsid w:val="004666BD"/>
    <w:rsid w:val="004A3FB3"/>
    <w:rsid w:val="005738B4"/>
    <w:rsid w:val="005A2B6C"/>
    <w:rsid w:val="005E511D"/>
    <w:rsid w:val="006008A3"/>
    <w:rsid w:val="00620E49"/>
    <w:rsid w:val="006C5ADC"/>
    <w:rsid w:val="006E63BA"/>
    <w:rsid w:val="00711B3E"/>
    <w:rsid w:val="00775C84"/>
    <w:rsid w:val="007D38BF"/>
    <w:rsid w:val="00811FDB"/>
    <w:rsid w:val="00847A97"/>
    <w:rsid w:val="008776E7"/>
    <w:rsid w:val="008D77C5"/>
    <w:rsid w:val="00964BA3"/>
    <w:rsid w:val="00965FC1"/>
    <w:rsid w:val="009B3648"/>
    <w:rsid w:val="009F3916"/>
    <w:rsid w:val="00A27D4F"/>
    <w:rsid w:val="00A52500"/>
    <w:rsid w:val="00A73E61"/>
    <w:rsid w:val="00B17061"/>
    <w:rsid w:val="00B374D2"/>
    <w:rsid w:val="00B43BAF"/>
    <w:rsid w:val="00B63C50"/>
    <w:rsid w:val="00C94F8B"/>
    <w:rsid w:val="00CB6169"/>
    <w:rsid w:val="00CD638F"/>
    <w:rsid w:val="00CE5F6B"/>
    <w:rsid w:val="00CF4255"/>
    <w:rsid w:val="00CF7ED4"/>
    <w:rsid w:val="00D365F0"/>
    <w:rsid w:val="00D54629"/>
    <w:rsid w:val="00D6171B"/>
    <w:rsid w:val="00D76EF4"/>
    <w:rsid w:val="00D955D9"/>
    <w:rsid w:val="00DD5E97"/>
    <w:rsid w:val="00E07F80"/>
    <w:rsid w:val="00E10D7E"/>
    <w:rsid w:val="00E33DAC"/>
    <w:rsid w:val="00E608A8"/>
    <w:rsid w:val="00E7213A"/>
    <w:rsid w:val="00E95803"/>
    <w:rsid w:val="00F21E0A"/>
    <w:rsid w:val="00F536F8"/>
    <w:rsid w:val="00F82185"/>
    <w:rsid w:val="00F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4FCB04-8A22-45C9-AF15-461644A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1">
    <w:name w:val="w1"/>
    <w:basedOn w:val="a0"/>
    <w:rPr>
      <w:color w:val="0000CC"/>
    </w:rPr>
  </w:style>
  <w:style w:type="character" w:customStyle="1" w:styleId="apple-converted-space">
    <w:name w:val="apple-converted-space"/>
    <w:basedOn w:val="a0"/>
    <w:rsid w:val="00811FDB"/>
  </w:style>
  <w:style w:type="character" w:styleId="Hyperlink">
    <w:name w:val="Hyperlink"/>
    <w:basedOn w:val="a0"/>
    <w:uiPriority w:val="99"/>
    <w:semiHidden/>
    <w:unhideWhenUsed/>
    <w:rsid w:val="00371668"/>
    <w:rPr>
      <w:color w:val="0000FF"/>
      <w:u w:val="single"/>
    </w:rPr>
  </w:style>
  <w:style w:type="table" w:styleId="a3">
    <w:name w:val="Table Grid"/>
    <w:basedOn w:val="a1"/>
    <w:uiPriority w:val="59"/>
    <w:rsid w:val="0046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ayoub@campus.technion.ac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הטכניון - מכון טכנולוגי לישראל</vt:lpstr>
    </vt:vector>
  </TitlesOfParts>
  <Company>Technion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- מכון טכנולוגי לישראל</dc:title>
  <dc:creator>Snunu</dc:creator>
  <cp:lastModifiedBy>MBA Programs Secretary</cp:lastModifiedBy>
  <cp:revision>2</cp:revision>
  <cp:lastPrinted>2020-12-31T11:17:00Z</cp:lastPrinted>
  <dcterms:created xsi:type="dcterms:W3CDTF">2021-11-25T08:37:00Z</dcterms:created>
  <dcterms:modified xsi:type="dcterms:W3CDTF">2021-11-25T08:37:00Z</dcterms:modified>
</cp:coreProperties>
</file>